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F44B9" w14:textId="48B7BF98" w:rsidR="00567FD3" w:rsidRDefault="00961B07" w:rsidP="00BE62D2">
      <w:pPr>
        <w:spacing w:line="560" w:lineRule="exact"/>
        <w:jc w:val="center"/>
        <w:rPr>
          <w:rFonts w:ascii="方正小标宋简体" w:eastAsia="方正小标宋简体" w:hAnsi="仿宋" w:cs="仿宋_GB2312"/>
          <w:bCs/>
          <w:sz w:val="44"/>
          <w:szCs w:val="44"/>
          <w:u w:color="000000"/>
        </w:rPr>
      </w:pPr>
      <w:bookmarkStart w:id="0" w:name="_GoBack"/>
      <w:bookmarkEnd w:id="0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参股</w:t>
      </w:r>
      <w:proofErr w:type="gramStart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子基金</w:t>
      </w:r>
      <w:proofErr w:type="gramEnd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拟投项目合</w:t>
      </w:r>
      <w:proofErr w:type="gramStart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规</w:t>
      </w:r>
      <w:proofErr w:type="gramEnd"/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性</w:t>
      </w:r>
    </w:p>
    <w:p w14:paraId="24FBB5C1" w14:textId="47DE4A44" w:rsidR="005834B5" w:rsidRPr="00BE62D2" w:rsidRDefault="00961B07" w:rsidP="00BE62D2">
      <w:pPr>
        <w:spacing w:line="560" w:lineRule="exact"/>
        <w:jc w:val="center"/>
        <w:rPr>
          <w:rFonts w:ascii="方正小标宋简体" w:eastAsia="方正小标宋简体" w:hAnsi="仿宋" w:cs="仿宋_GB2312"/>
          <w:bCs/>
          <w:sz w:val="44"/>
          <w:szCs w:val="44"/>
          <w:u w:color="000000"/>
        </w:rPr>
      </w:pPr>
      <w:r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复核</w:t>
      </w:r>
      <w:r w:rsidR="00192863" w:rsidRPr="00BE62D2"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中介机构</w:t>
      </w:r>
      <w:r w:rsidR="00A45EAD" w:rsidRPr="00A45EAD">
        <w:rPr>
          <w:rFonts w:ascii="方正小标宋简体" w:eastAsia="方正小标宋简体" w:hAnsi="仿宋" w:cs="仿宋_GB2312" w:hint="eastAsia"/>
          <w:bCs/>
          <w:sz w:val="44"/>
          <w:szCs w:val="44"/>
          <w:u w:color="000000"/>
        </w:rPr>
        <w:t>服务质量评价表</w:t>
      </w:r>
    </w:p>
    <w:p w14:paraId="47D69A78" w14:textId="724EFD8A" w:rsidR="005834B5" w:rsidRDefault="005834B5" w:rsidP="005B5B0C">
      <w:pPr>
        <w:spacing w:line="300" w:lineRule="exact"/>
        <w:jc w:val="center"/>
        <w:rPr>
          <w:rFonts w:ascii="宋体" w:hAnsi="宋体"/>
          <w:sz w:val="24"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1475"/>
        <w:gridCol w:w="1739"/>
        <w:gridCol w:w="4147"/>
        <w:gridCol w:w="1560"/>
      </w:tblGrid>
      <w:tr w:rsidR="00E35A1F" w:rsidRPr="00E35A1F" w14:paraId="0CE1A8ED" w14:textId="77777777" w:rsidTr="00107B28">
        <w:trPr>
          <w:trHeight w:val="376"/>
        </w:trPr>
        <w:tc>
          <w:tcPr>
            <w:tcW w:w="892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F04A2" w14:textId="77777777" w:rsidR="00E35A1F" w:rsidRPr="00E35A1F" w:rsidRDefault="00E35A1F" w:rsidP="00E35A1F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bookmarkStart w:id="1" w:name="RANGE!A1:D9"/>
            <w:r w:rsidRPr="00E35A1F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中介机构服务质量评价表</w:t>
            </w:r>
            <w:bookmarkEnd w:id="1"/>
          </w:p>
        </w:tc>
      </w:tr>
      <w:tr w:rsidR="00E35A1F" w:rsidRPr="00E35A1F" w14:paraId="6EE16008" w14:textId="77777777" w:rsidTr="00107B28">
        <w:trPr>
          <w:trHeight w:val="121"/>
        </w:trPr>
        <w:tc>
          <w:tcPr>
            <w:tcW w:w="32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3921" w14:textId="77777777" w:rsidR="00E35A1F" w:rsidRPr="00E35A1F" w:rsidRDefault="00E35A1F" w:rsidP="00E35A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评价指标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8733" w14:textId="77777777" w:rsidR="00E35A1F" w:rsidRPr="00E35A1F" w:rsidRDefault="00E35A1F" w:rsidP="00E35A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评价内容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56BB3" w14:textId="77777777" w:rsidR="00E35A1F" w:rsidRPr="00E35A1F" w:rsidRDefault="00E35A1F" w:rsidP="00E35A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复核中介库</w:t>
            </w:r>
          </w:p>
        </w:tc>
      </w:tr>
      <w:tr w:rsidR="00E35A1F" w:rsidRPr="00E35A1F" w14:paraId="2762E577" w14:textId="77777777" w:rsidTr="00107B28">
        <w:trPr>
          <w:trHeight w:val="56"/>
        </w:trPr>
        <w:tc>
          <w:tcPr>
            <w:tcW w:w="14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00FA" w14:textId="77777777" w:rsidR="00E35A1F" w:rsidRPr="00E35A1F" w:rsidRDefault="00E35A1F" w:rsidP="00E35A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指标类别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4A38" w14:textId="77777777" w:rsidR="00E35A1F" w:rsidRPr="00E35A1F" w:rsidRDefault="00E35A1F" w:rsidP="00E35A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具体指标</w:t>
            </w:r>
          </w:p>
        </w:tc>
        <w:tc>
          <w:tcPr>
            <w:tcW w:w="4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0030" w14:textId="77777777" w:rsidR="00E35A1F" w:rsidRPr="00E35A1F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813F7" w14:textId="77777777" w:rsidR="00E35A1F" w:rsidRPr="00E35A1F" w:rsidRDefault="00E35A1F" w:rsidP="00E35A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评判结果</w:t>
            </w:r>
          </w:p>
        </w:tc>
      </w:tr>
      <w:tr w:rsidR="00E35A1F" w:rsidRPr="00E35A1F" w14:paraId="30BFE419" w14:textId="77777777" w:rsidTr="00107B28">
        <w:trPr>
          <w:trHeight w:val="310"/>
        </w:trPr>
        <w:tc>
          <w:tcPr>
            <w:tcW w:w="147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CDF1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服务结果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4382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报告形式及内容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AB77" w14:textId="77777777" w:rsidR="00E35A1F" w:rsidRPr="00E35A1F" w:rsidRDefault="00E35A1F" w:rsidP="00A45EA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【真实性】工作成果的格式符合要求，背景调查及数据真实，文字表述清晰正确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EDAE1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是/否</w:t>
            </w:r>
          </w:p>
        </w:tc>
      </w:tr>
      <w:tr w:rsidR="00E35A1F" w:rsidRPr="00E35A1F" w14:paraId="191DD9A8" w14:textId="77777777" w:rsidTr="00107B28">
        <w:trPr>
          <w:trHeight w:val="364"/>
        </w:trPr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5E62" w14:textId="77777777" w:rsidR="00E35A1F" w:rsidRPr="00E35A1F" w:rsidRDefault="00E35A1F" w:rsidP="00A45EA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7C47E" w14:textId="77777777" w:rsidR="00E35A1F" w:rsidRPr="00E35A1F" w:rsidRDefault="00E35A1F" w:rsidP="00A45EA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0F62" w14:textId="77777777" w:rsidR="00E35A1F" w:rsidRPr="00E35A1F" w:rsidRDefault="00E35A1F" w:rsidP="00A45EA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【完整性】工作成果篇幅结构合理，逻辑严谨，内容完整，重点突出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CF4F2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是/否</w:t>
            </w:r>
          </w:p>
        </w:tc>
      </w:tr>
      <w:tr w:rsidR="00E35A1F" w:rsidRPr="00E35A1F" w14:paraId="6F0F1E92" w14:textId="77777777" w:rsidTr="00107B28">
        <w:trPr>
          <w:trHeight w:val="1385"/>
        </w:trPr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3D1AF" w14:textId="77777777" w:rsidR="00E35A1F" w:rsidRPr="00E35A1F" w:rsidRDefault="00E35A1F" w:rsidP="00A45EA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FDD46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结论意见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90D5" w14:textId="77777777" w:rsidR="00E35A1F" w:rsidRPr="00E35A1F" w:rsidRDefault="00E35A1F" w:rsidP="00A45EA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【准确性】工作成果背景情况描述清晰，论证严密，规则适用准确，勾</w:t>
            </w:r>
            <w:proofErr w:type="gramStart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稽</w:t>
            </w:r>
            <w:proofErr w:type="gramEnd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关系准确，充分、妥当地提示并论述了应关注的问题、风险及相关建议，结论或意见明确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92362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是/否</w:t>
            </w:r>
          </w:p>
        </w:tc>
      </w:tr>
      <w:tr w:rsidR="00E35A1F" w:rsidRPr="00E35A1F" w14:paraId="11A61851" w14:textId="77777777" w:rsidTr="00107B28">
        <w:trPr>
          <w:trHeight w:val="666"/>
        </w:trPr>
        <w:tc>
          <w:tcPr>
            <w:tcW w:w="14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BB2E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附加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D9C2A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一票否决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E9E7" w14:textId="75209216" w:rsidR="00E35A1F" w:rsidRPr="00E35A1F" w:rsidRDefault="00E35A1F" w:rsidP="00A45EAD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存在违反相关法律法规及</w:t>
            </w:r>
            <w:r w:rsidR="00574533" w:rsidRPr="0057453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深圳市天使投资引导基金管理有限公司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中介机构管理办法中明确禁止事项的行为（如有，直接评定为“不合格”）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5F2F2" w14:textId="77777777" w:rsidR="00E35A1F" w:rsidRPr="00E35A1F" w:rsidRDefault="00E35A1F" w:rsidP="00A45EA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是/否</w:t>
            </w:r>
          </w:p>
        </w:tc>
      </w:tr>
      <w:tr w:rsidR="00E35A1F" w:rsidRPr="00E35A1F" w14:paraId="0927E26B" w14:textId="77777777" w:rsidTr="00107B28">
        <w:trPr>
          <w:trHeight w:val="540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FA349" w14:textId="77777777" w:rsidR="00E35A1F" w:rsidRPr="00E35A1F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子基金</w:t>
            </w:r>
            <w:proofErr w:type="gramEnd"/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项目复核中介机构服务质量评价表说明：</w:t>
            </w:r>
          </w:p>
        </w:tc>
      </w:tr>
      <w:tr w:rsidR="00E35A1F" w:rsidRPr="00E35A1F" w14:paraId="7749B543" w14:textId="77777777" w:rsidTr="00107B28">
        <w:trPr>
          <w:trHeight w:val="4082"/>
        </w:trPr>
        <w:tc>
          <w:tcPr>
            <w:tcW w:w="892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83BB3" w14:textId="77777777" w:rsidR="007B7974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1、</w:t>
            </w:r>
            <w:proofErr w:type="gramStart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子基金</w:t>
            </w:r>
            <w:proofErr w:type="gramEnd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项目复核中介库中介机构的评价结果分为“</w:t>
            </w: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合格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”、“</w:t>
            </w: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不合格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”两个等级。</w:t>
            </w: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一年内连续二次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或</w:t>
            </w: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累计三次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出现下列情形之一的，评价结果为不合格：</w:t>
            </w:r>
          </w:p>
          <w:p w14:paraId="64EEC689" w14:textId="77777777" w:rsidR="007B7974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（1）“报告形式及内容”不满足“</w:t>
            </w: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真实性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”指标要求；或</w:t>
            </w:r>
          </w:p>
          <w:p w14:paraId="1B2A19B0" w14:textId="77777777" w:rsidR="007B7974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（2）“报告形式及内容”不满足“</w:t>
            </w: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完整性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”指标要求；或</w:t>
            </w:r>
          </w:p>
          <w:p w14:paraId="61C4719F" w14:textId="77777777" w:rsidR="007B7974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（3）“结论意见”不满足“</w:t>
            </w:r>
            <w:r w:rsidRPr="00E35A1F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准确性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”指标要求。</w:t>
            </w:r>
          </w:p>
          <w:p w14:paraId="636F244A" w14:textId="71351CF9" w:rsidR="00107B28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、依据《中介机构管理办法》，一票否决项涉及的行为包括但不限于：（1）年检不合格、执业资格丧失、受到行业监管部门处罚；（2）上级主管部门、股东单位、市引导基金认为不符合要求；（3）弄虚作假、恶意串通等不诚实行为；（4）未经委托人批准泄露企业商业秘密；（5）报告存在重大质量问题与实际情况严重不符的；（6）实际履约情况与合同约定或承诺严重不符的；（7）工作失误给</w:t>
            </w:r>
            <w:r w:rsidR="00574533" w:rsidRPr="0057453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深圳市天使投资引导基金管理有限公司</w:t>
            </w: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造成重大损失的。</w:t>
            </w:r>
          </w:p>
          <w:p w14:paraId="5A25CD81" w14:textId="5849DC8D" w:rsidR="00E35A1F" w:rsidRPr="00E35A1F" w:rsidRDefault="00E35A1F" w:rsidP="00E35A1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3、</w:t>
            </w:r>
            <w:proofErr w:type="gramStart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子基金</w:t>
            </w:r>
            <w:proofErr w:type="gramEnd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项目复核中介机构评价周期以年度为单位，对复核中介库中介机构从年度服务结果维</w:t>
            </w:r>
            <w:proofErr w:type="gramStart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度展开</w:t>
            </w:r>
            <w:proofErr w:type="gramEnd"/>
            <w:r w:rsidRPr="00E35A1F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评价，同时排查是否存在一票否决项。</w:t>
            </w:r>
          </w:p>
        </w:tc>
      </w:tr>
    </w:tbl>
    <w:p w14:paraId="5B618979" w14:textId="77777777" w:rsidR="00E35A1F" w:rsidRPr="00E35A1F" w:rsidRDefault="00E35A1F" w:rsidP="005B5B0C">
      <w:pPr>
        <w:spacing w:line="300" w:lineRule="exact"/>
        <w:jc w:val="center"/>
        <w:rPr>
          <w:rFonts w:ascii="宋体" w:hAnsi="宋体"/>
          <w:sz w:val="24"/>
        </w:rPr>
      </w:pPr>
    </w:p>
    <w:sectPr w:rsidR="00E35A1F" w:rsidRPr="00E35A1F" w:rsidSect="003F3196">
      <w:footerReference w:type="default" r:id="rId8"/>
      <w:pgSz w:w="11906" w:h="16838"/>
      <w:pgMar w:top="1474" w:right="1588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E2D4" w14:textId="77777777" w:rsidR="00A25C63" w:rsidRDefault="00A25C63">
      <w:r>
        <w:separator/>
      </w:r>
    </w:p>
  </w:endnote>
  <w:endnote w:type="continuationSeparator" w:id="0">
    <w:p w14:paraId="34DB9D7D" w14:textId="77777777" w:rsidR="00A25C63" w:rsidRDefault="00A2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16652"/>
    </w:sdtPr>
    <w:sdtEndPr/>
    <w:sdtContent>
      <w:sdt>
        <w:sdtPr>
          <w:id w:val="1728636285"/>
        </w:sdtPr>
        <w:sdtEndPr/>
        <w:sdtContent>
          <w:p w14:paraId="31226887" w14:textId="21481C31" w:rsidR="005834B5" w:rsidRDefault="00192863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9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9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C6E2B" w14:textId="77777777" w:rsidR="00A25C63" w:rsidRDefault="00A25C63">
      <w:r>
        <w:separator/>
      </w:r>
    </w:p>
  </w:footnote>
  <w:footnote w:type="continuationSeparator" w:id="0">
    <w:p w14:paraId="64554F24" w14:textId="77777777" w:rsidR="00A25C63" w:rsidRDefault="00A2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3BD"/>
    <w:multiLevelType w:val="multilevel"/>
    <w:tmpl w:val="452866E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18"/>
    <w:rsid w:val="00010653"/>
    <w:rsid w:val="0001526B"/>
    <w:rsid w:val="0003026E"/>
    <w:rsid w:val="00076AC9"/>
    <w:rsid w:val="00076CB1"/>
    <w:rsid w:val="00091D09"/>
    <w:rsid w:val="00093FAE"/>
    <w:rsid w:val="00096C7F"/>
    <w:rsid w:val="000A5F5C"/>
    <w:rsid w:val="000B53FE"/>
    <w:rsid w:val="000D21A7"/>
    <w:rsid w:val="000D37D2"/>
    <w:rsid w:val="000E32BC"/>
    <w:rsid w:val="000E36DC"/>
    <w:rsid w:val="000F5C52"/>
    <w:rsid w:val="000F7DDD"/>
    <w:rsid w:val="00102F8C"/>
    <w:rsid w:val="00107B28"/>
    <w:rsid w:val="00123D74"/>
    <w:rsid w:val="00144E31"/>
    <w:rsid w:val="001456A9"/>
    <w:rsid w:val="00154D7F"/>
    <w:rsid w:val="00192863"/>
    <w:rsid w:val="00194484"/>
    <w:rsid w:val="001A6ABA"/>
    <w:rsid w:val="001B3FEE"/>
    <w:rsid w:val="001C58D8"/>
    <w:rsid w:val="001E5773"/>
    <w:rsid w:val="001F3ECD"/>
    <w:rsid w:val="00204107"/>
    <w:rsid w:val="00211AF7"/>
    <w:rsid w:val="002145B6"/>
    <w:rsid w:val="002262A6"/>
    <w:rsid w:val="00226534"/>
    <w:rsid w:val="00227106"/>
    <w:rsid w:val="0025033C"/>
    <w:rsid w:val="00250F8D"/>
    <w:rsid w:val="00256CEA"/>
    <w:rsid w:val="00264AD8"/>
    <w:rsid w:val="00292D48"/>
    <w:rsid w:val="002935AA"/>
    <w:rsid w:val="002B55BE"/>
    <w:rsid w:val="002C1479"/>
    <w:rsid w:val="002E0C1E"/>
    <w:rsid w:val="002E3A3E"/>
    <w:rsid w:val="002E60AD"/>
    <w:rsid w:val="00302D92"/>
    <w:rsid w:val="00305066"/>
    <w:rsid w:val="003267A0"/>
    <w:rsid w:val="003371EA"/>
    <w:rsid w:val="00337FC3"/>
    <w:rsid w:val="003441C0"/>
    <w:rsid w:val="0034722A"/>
    <w:rsid w:val="003552CF"/>
    <w:rsid w:val="0035624B"/>
    <w:rsid w:val="00357CC6"/>
    <w:rsid w:val="00360FFF"/>
    <w:rsid w:val="00363C30"/>
    <w:rsid w:val="00372A63"/>
    <w:rsid w:val="00384AF0"/>
    <w:rsid w:val="00385BE4"/>
    <w:rsid w:val="00395DBA"/>
    <w:rsid w:val="003C1014"/>
    <w:rsid w:val="003C5570"/>
    <w:rsid w:val="003D7BF6"/>
    <w:rsid w:val="003E10B5"/>
    <w:rsid w:val="003F3196"/>
    <w:rsid w:val="003F51F9"/>
    <w:rsid w:val="00406755"/>
    <w:rsid w:val="00413F17"/>
    <w:rsid w:val="004233C9"/>
    <w:rsid w:val="00431BAA"/>
    <w:rsid w:val="004577A2"/>
    <w:rsid w:val="004646EB"/>
    <w:rsid w:val="004B45A8"/>
    <w:rsid w:val="004D5BDD"/>
    <w:rsid w:val="004F40B4"/>
    <w:rsid w:val="00500B2E"/>
    <w:rsid w:val="00500DE1"/>
    <w:rsid w:val="00502C5D"/>
    <w:rsid w:val="00514394"/>
    <w:rsid w:val="0053391F"/>
    <w:rsid w:val="00535FDB"/>
    <w:rsid w:val="00554B24"/>
    <w:rsid w:val="00555D73"/>
    <w:rsid w:val="005575F7"/>
    <w:rsid w:val="00562F62"/>
    <w:rsid w:val="00563DB2"/>
    <w:rsid w:val="00567FD3"/>
    <w:rsid w:val="00574533"/>
    <w:rsid w:val="005834B5"/>
    <w:rsid w:val="005A37CB"/>
    <w:rsid w:val="005B3759"/>
    <w:rsid w:val="005B5B0C"/>
    <w:rsid w:val="005C20C5"/>
    <w:rsid w:val="005D03FF"/>
    <w:rsid w:val="005D6BF6"/>
    <w:rsid w:val="005E7B30"/>
    <w:rsid w:val="00605B64"/>
    <w:rsid w:val="00616849"/>
    <w:rsid w:val="00617443"/>
    <w:rsid w:val="00617518"/>
    <w:rsid w:val="00620D95"/>
    <w:rsid w:val="00641D81"/>
    <w:rsid w:val="006423F5"/>
    <w:rsid w:val="00654736"/>
    <w:rsid w:val="00655F0E"/>
    <w:rsid w:val="00662590"/>
    <w:rsid w:val="00677404"/>
    <w:rsid w:val="00681202"/>
    <w:rsid w:val="006A53C0"/>
    <w:rsid w:val="006A55B9"/>
    <w:rsid w:val="006B021C"/>
    <w:rsid w:val="006B7E8B"/>
    <w:rsid w:val="006D16CA"/>
    <w:rsid w:val="006D6125"/>
    <w:rsid w:val="006E4105"/>
    <w:rsid w:val="00710D19"/>
    <w:rsid w:val="007141AA"/>
    <w:rsid w:val="00714325"/>
    <w:rsid w:val="00716718"/>
    <w:rsid w:val="007239F0"/>
    <w:rsid w:val="00725935"/>
    <w:rsid w:val="0074219E"/>
    <w:rsid w:val="007623E3"/>
    <w:rsid w:val="007752F8"/>
    <w:rsid w:val="00785DC3"/>
    <w:rsid w:val="007A0A3C"/>
    <w:rsid w:val="007A22FA"/>
    <w:rsid w:val="007B1D08"/>
    <w:rsid w:val="007B497D"/>
    <w:rsid w:val="007B7974"/>
    <w:rsid w:val="007C0197"/>
    <w:rsid w:val="007F3CA1"/>
    <w:rsid w:val="00801678"/>
    <w:rsid w:val="00803380"/>
    <w:rsid w:val="008174EB"/>
    <w:rsid w:val="00825C35"/>
    <w:rsid w:val="00841EDF"/>
    <w:rsid w:val="008515A5"/>
    <w:rsid w:val="00855AE8"/>
    <w:rsid w:val="00861286"/>
    <w:rsid w:val="00866B9B"/>
    <w:rsid w:val="00871509"/>
    <w:rsid w:val="00874D04"/>
    <w:rsid w:val="0087589D"/>
    <w:rsid w:val="00890515"/>
    <w:rsid w:val="008B7C9B"/>
    <w:rsid w:val="008D5D0E"/>
    <w:rsid w:val="008E0D9A"/>
    <w:rsid w:val="008E5373"/>
    <w:rsid w:val="00907DFF"/>
    <w:rsid w:val="0091202F"/>
    <w:rsid w:val="00912F15"/>
    <w:rsid w:val="009149BB"/>
    <w:rsid w:val="0094231A"/>
    <w:rsid w:val="00961B07"/>
    <w:rsid w:val="00967EE2"/>
    <w:rsid w:val="0097675F"/>
    <w:rsid w:val="009C7BBB"/>
    <w:rsid w:val="009D7F60"/>
    <w:rsid w:val="009F65CD"/>
    <w:rsid w:val="009F7A43"/>
    <w:rsid w:val="00A0200C"/>
    <w:rsid w:val="00A02785"/>
    <w:rsid w:val="00A16677"/>
    <w:rsid w:val="00A25C63"/>
    <w:rsid w:val="00A25D08"/>
    <w:rsid w:val="00A30AB1"/>
    <w:rsid w:val="00A45EAD"/>
    <w:rsid w:val="00A4796C"/>
    <w:rsid w:val="00A55797"/>
    <w:rsid w:val="00A56195"/>
    <w:rsid w:val="00A64AE0"/>
    <w:rsid w:val="00A65F60"/>
    <w:rsid w:val="00A74D49"/>
    <w:rsid w:val="00A84CC9"/>
    <w:rsid w:val="00A940FF"/>
    <w:rsid w:val="00AA2CB2"/>
    <w:rsid w:val="00AA6536"/>
    <w:rsid w:val="00AB57A1"/>
    <w:rsid w:val="00AB669F"/>
    <w:rsid w:val="00AC4A90"/>
    <w:rsid w:val="00AE5C6E"/>
    <w:rsid w:val="00AF22C6"/>
    <w:rsid w:val="00B077BF"/>
    <w:rsid w:val="00B14359"/>
    <w:rsid w:val="00B1592C"/>
    <w:rsid w:val="00B20E79"/>
    <w:rsid w:val="00B22906"/>
    <w:rsid w:val="00B34972"/>
    <w:rsid w:val="00B5632E"/>
    <w:rsid w:val="00B63AF3"/>
    <w:rsid w:val="00B65C15"/>
    <w:rsid w:val="00B65F37"/>
    <w:rsid w:val="00B7044B"/>
    <w:rsid w:val="00B851C5"/>
    <w:rsid w:val="00B96332"/>
    <w:rsid w:val="00B97ED4"/>
    <w:rsid w:val="00BA326C"/>
    <w:rsid w:val="00BA4D7D"/>
    <w:rsid w:val="00BA571B"/>
    <w:rsid w:val="00BB4962"/>
    <w:rsid w:val="00BB4DE1"/>
    <w:rsid w:val="00BC273C"/>
    <w:rsid w:val="00BC402D"/>
    <w:rsid w:val="00BC5D4F"/>
    <w:rsid w:val="00BC6A25"/>
    <w:rsid w:val="00BD7A4C"/>
    <w:rsid w:val="00BE62D2"/>
    <w:rsid w:val="00C202BE"/>
    <w:rsid w:val="00C35666"/>
    <w:rsid w:val="00C35871"/>
    <w:rsid w:val="00C42210"/>
    <w:rsid w:val="00C45F49"/>
    <w:rsid w:val="00C521C6"/>
    <w:rsid w:val="00C5391F"/>
    <w:rsid w:val="00C53C95"/>
    <w:rsid w:val="00C56F18"/>
    <w:rsid w:val="00C63BC0"/>
    <w:rsid w:val="00C6503D"/>
    <w:rsid w:val="00C812C1"/>
    <w:rsid w:val="00C835A3"/>
    <w:rsid w:val="00C85806"/>
    <w:rsid w:val="00C93520"/>
    <w:rsid w:val="00C973F5"/>
    <w:rsid w:val="00CA1DB9"/>
    <w:rsid w:val="00CA6660"/>
    <w:rsid w:val="00CC2686"/>
    <w:rsid w:val="00CD42B7"/>
    <w:rsid w:val="00CE23E9"/>
    <w:rsid w:val="00CF0D06"/>
    <w:rsid w:val="00CF1FD3"/>
    <w:rsid w:val="00CF260D"/>
    <w:rsid w:val="00D008DB"/>
    <w:rsid w:val="00D0122B"/>
    <w:rsid w:val="00D05363"/>
    <w:rsid w:val="00D0661A"/>
    <w:rsid w:val="00D11702"/>
    <w:rsid w:val="00D15D38"/>
    <w:rsid w:val="00D35266"/>
    <w:rsid w:val="00D411A9"/>
    <w:rsid w:val="00D43F12"/>
    <w:rsid w:val="00D509FF"/>
    <w:rsid w:val="00D527C5"/>
    <w:rsid w:val="00D613A0"/>
    <w:rsid w:val="00D705F6"/>
    <w:rsid w:val="00D72D86"/>
    <w:rsid w:val="00D72E10"/>
    <w:rsid w:val="00D8780D"/>
    <w:rsid w:val="00DD04D6"/>
    <w:rsid w:val="00DE749A"/>
    <w:rsid w:val="00DF06FF"/>
    <w:rsid w:val="00E07BE8"/>
    <w:rsid w:val="00E147D6"/>
    <w:rsid w:val="00E225F1"/>
    <w:rsid w:val="00E35A1F"/>
    <w:rsid w:val="00E70EFC"/>
    <w:rsid w:val="00E74EE9"/>
    <w:rsid w:val="00E86061"/>
    <w:rsid w:val="00E96E9D"/>
    <w:rsid w:val="00EA3E9B"/>
    <w:rsid w:val="00EA79D7"/>
    <w:rsid w:val="00ED55D9"/>
    <w:rsid w:val="00ED6730"/>
    <w:rsid w:val="00EE3999"/>
    <w:rsid w:val="00EF1713"/>
    <w:rsid w:val="00EF6993"/>
    <w:rsid w:val="00F0159B"/>
    <w:rsid w:val="00F029E0"/>
    <w:rsid w:val="00F04FBC"/>
    <w:rsid w:val="00F0586D"/>
    <w:rsid w:val="00F071F7"/>
    <w:rsid w:val="00F11CC4"/>
    <w:rsid w:val="00F126DA"/>
    <w:rsid w:val="00F2367C"/>
    <w:rsid w:val="00F474C5"/>
    <w:rsid w:val="00F536EE"/>
    <w:rsid w:val="00F55049"/>
    <w:rsid w:val="00F55B9E"/>
    <w:rsid w:val="00F61133"/>
    <w:rsid w:val="00F63E86"/>
    <w:rsid w:val="00F72027"/>
    <w:rsid w:val="00F85569"/>
    <w:rsid w:val="00F87D32"/>
    <w:rsid w:val="00F9574A"/>
    <w:rsid w:val="00FB2CB1"/>
    <w:rsid w:val="00FB5578"/>
    <w:rsid w:val="00FC6F09"/>
    <w:rsid w:val="00FD0B1F"/>
    <w:rsid w:val="00FD3C5C"/>
    <w:rsid w:val="00FD69D9"/>
    <w:rsid w:val="00FE0C08"/>
    <w:rsid w:val="00FE77E4"/>
    <w:rsid w:val="00FF3156"/>
    <w:rsid w:val="00FF5E2D"/>
    <w:rsid w:val="088B7C21"/>
    <w:rsid w:val="6B487846"/>
    <w:rsid w:val="77E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5C3D0"/>
  <w15:docId w15:val="{394EFB62-8906-4930-8D0A-73B8C96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a5"/>
    <w:unhideWhenUsed/>
    <w:qFormat/>
    <w:pPr>
      <w:adjustRightInd w:val="0"/>
      <w:snapToGrid w:val="0"/>
      <w:spacing w:line="440" w:lineRule="exact"/>
      <w:ind w:firstLineChars="100" w:firstLine="420"/>
    </w:pPr>
    <w:rPr>
      <w:sz w:val="24"/>
      <w:szCs w:val="22"/>
    </w:rPr>
  </w:style>
  <w:style w:type="paragraph" w:styleId="a4">
    <w:name w:val="Body Text"/>
    <w:basedOn w:val="a"/>
    <w:link w:val="a6"/>
    <w:uiPriority w:val="99"/>
    <w:unhideWhenUsed/>
    <w:qFormat/>
    <w:pPr>
      <w:spacing w:after="120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等线" w:hAnsi="Calibri"/>
      <w:szCs w:val="21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6">
    <w:name w:val="正文文本 字符"/>
    <w:basedOn w:val="a0"/>
    <w:link w:val="a4"/>
    <w:uiPriority w:val="99"/>
    <w:semiHidden/>
    <w:qFormat/>
    <w:rPr>
      <w:kern w:val="2"/>
      <w:sz w:val="21"/>
      <w:szCs w:val="24"/>
    </w:rPr>
  </w:style>
  <w:style w:type="character" w:customStyle="1" w:styleId="a5">
    <w:name w:val="正文首行缩进 字符"/>
    <w:basedOn w:val="a6"/>
    <w:link w:val="a3"/>
    <w:uiPriority w:val="99"/>
    <w:qFormat/>
    <w:rPr>
      <w:kern w:val="2"/>
      <w:sz w:val="24"/>
      <w:szCs w:val="22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563C1"/>
      <w:u w:val="single"/>
    </w:rPr>
  </w:style>
  <w:style w:type="character" w:customStyle="1" w:styleId="3">
    <w:name w:val="未处理的提及3"/>
    <w:basedOn w:val="a0"/>
    <w:uiPriority w:val="99"/>
    <w:semiHidden/>
    <w:unhideWhenUsed/>
    <w:rsid w:val="0071432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TSFOF</dc:creator>
  <cp:lastModifiedBy>Yilun Li</cp:lastModifiedBy>
  <cp:revision>70</cp:revision>
  <cp:lastPrinted>2021-01-19T10:28:00Z</cp:lastPrinted>
  <dcterms:created xsi:type="dcterms:W3CDTF">2021-01-22T18:27:00Z</dcterms:created>
  <dcterms:modified xsi:type="dcterms:W3CDTF">2023-04-07T10:22:00Z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2052-3.0.1.4848</vt:lpwstr>
  </property>
</Properties>
</file>