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5795" w14:textId="77777777" w:rsidR="00E56544" w:rsidRDefault="00000000">
      <w:pPr>
        <w:spacing w:line="240" w:lineRule="auto"/>
        <w:ind w:firstLineChars="0" w:firstLine="0"/>
        <w:rPr>
          <w:rFonts w:ascii="黑体" w:eastAsia="黑体" w:cs="黑体"/>
        </w:rPr>
      </w:pPr>
      <w:r>
        <w:rPr>
          <w:rFonts w:ascii="黑体" w:eastAsia="黑体" w:cs="黑体" w:hint="eastAsia"/>
        </w:rPr>
        <w:t>附件8</w:t>
      </w:r>
    </w:p>
    <w:p w14:paraId="78EDE6B6" w14:textId="77777777" w:rsidR="00E56544" w:rsidRDefault="00000000">
      <w:pPr>
        <w:ind w:firstLine="880"/>
        <w:jc w:val="center"/>
        <w:rPr>
          <w:rFonts w:ascii="方正小标宋简体" w:eastAsia="方正小标宋简体"/>
          <w:sz w:val="44"/>
          <w:szCs w:val="44"/>
        </w:rPr>
      </w:pPr>
      <w:r>
        <w:rPr>
          <w:rFonts w:ascii="方正小标宋简体" w:eastAsia="方正小标宋简体" w:hint="eastAsia"/>
          <w:sz w:val="44"/>
          <w:szCs w:val="44"/>
        </w:rPr>
        <w:t>廉政建设告知书</w:t>
      </w:r>
    </w:p>
    <w:p w14:paraId="59B8D06C" w14:textId="77777777" w:rsidR="00E56544" w:rsidRDefault="00E56544">
      <w:pPr>
        <w:pStyle w:val="reader-word-layer"/>
        <w:shd w:val="clear" w:color="auto" w:fill="FFFFFF"/>
        <w:spacing w:before="0" w:beforeAutospacing="0" w:after="0" w:afterAutospacing="0"/>
        <w:ind w:firstLine="640"/>
        <w:jc w:val="both"/>
        <w:rPr>
          <w:rFonts w:eastAsia="仿宋" w:hint="eastAsia"/>
          <w:sz w:val="32"/>
          <w:szCs w:val="32"/>
        </w:rPr>
      </w:pPr>
    </w:p>
    <w:p w14:paraId="2220A643"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郑州中原科技城科技创新产业投资基金合伙企业（有限合伙）（以下简称：中原</w:t>
      </w:r>
      <w:proofErr w:type="gramStart"/>
      <w:r>
        <w:rPr>
          <w:rFonts w:ascii="仿宋_GB2312" w:cs="Times New Roman" w:hint="eastAsia"/>
          <w:kern w:val="2"/>
          <w:sz w:val="32"/>
          <w:szCs w:val="32"/>
        </w:rPr>
        <w:t>科创母</w:t>
      </w:r>
      <w:proofErr w:type="gramEnd"/>
      <w:r>
        <w:rPr>
          <w:rFonts w:ascii="仿宋_GB2312" w:cs="Times New Roman" w:hint="eastAsia"/>
          <w:kern w:val="2"/>
          <w:sz w:val="32"/>
          <w:szCs w:val="32"/>
        </w:rPr>
        <w:t>基金）由深圳市天使投资引导基金管理有限公司（以下简称：管理公司）与郑州中原科技</w:t>
      </w:r>
      <w:proofErr w:type="gramStart"/>
      <w:r>
        <w:rPr>
          <w:rFonts w:ascii="仿宋_GB2312" w:cs="Times New Roman" w:hint="eastAsia"/>
          <w:kern w:val="2"/>
          <w:sz w:val="32"/>
          <w:szCs w:val="32"/>
        </w:rPr>
        <w:t>城产业</w:t>
      </w:r>
      <w:proofErr w:type="gramEnd"/>
      <w:r>
        <w:rPr>
          <w:rFonts w:ascii="仿宋_GB2312" w:cs="Times New Roman" w:hint="eastAsia"/>
          <w:kern w:val="2"/>
          <w:sz w:val="32"/>
          <w:szCs w:val="32"/>
        </w:rPr>
        <w:t>引导基金有限责任公司共同出资设立</w:t>
      </w:r>
      <w:r>
        <w:rPr>
          <w:rFonts w:ascii="仿宋_GB2312" w:hint="eastAsia"/>
          <w:spacing w:val="-4"/>
          <w:sz w:val="32"/>
          <w:szCs w:val="32"/>
        </w:rPr>
        <w:t>，</w:t>
      </w:r>
      <w:r>
        <w:rPr>
          <w:rFonts w:ascii="仿宋_GB2312" w:cs="Times New Roman" w:hint="eastAsia"/>
          <w:kern w:val="2"/>
          <w:sz w:val="32"/>
          <w:szCs w:val="32"/>
        </w:rPr>
        <w:t>根据</w:t>
      </w:r>
      <w:r>
        <w:rPr>
          <w:rFonts w:ascii="仿宋_GB2312" w:hint="eastAsia"/>
          <w:sz w:val="32"/>
          <w:szCs w:val="32"/>
        </w:rPr>
        <w:t>《中原科技城产业引导基金管理办法》</w:t>
      </w:r>
      <w:r>
        <w:rPr>
          <w:rFonts w:ascii="仿宋_GB2312" w:cs="Times New Roman" w:hint="eastAsia"/>
          <w:kern w:val="2"/>
          <w:sz w:val="32"/>
          <w:szCs w:val="32"/>
        </w:rPr>
        <w:t>，接受中原</w:t>
      </w:r>
      <w:proofErr w:type="gramStart"/>
      <w:r>
        <w:rPr>
          <w:rFonts w:ascii="仿宋_GB2312" w:cs="Times New Roman" w:hint="eastAsia"/>
          <w:kern w:val="2"/>
          <w:sz w:val="32"/>
          <w:szCs w:val="32"/>
        </w:rPr>
        <w:t>科创母基金</w:t>
      </w:r>
      <w:proofErr w:type="gramEnd"/>
      <w:r>
        <w:rPr>
          <w:rFonts w:ascii="仿宋_GB2312" w:cs="Times New Roman" w:hint="eastAsia"/>
          <w:kern w:val="2"/>
          <w:sz w:val="32"/>
          <w:szCs w:val="32"/>
        </w:rPr>
        <w:t>拟参股</w:t>
      </w:r>
      <w:proofErr w:type="gramStart"/>
      <w:r>
        <w:rPr>
          <w:rFonts w:ascii="仿宋_GB2312" w:cs="Times New Roman" w:hint="eastAsia"/>
          <w:kern w:val="2"/>
          <w:sz w:val="32"/>
          <w:szCs w:val="32"/>
        </w:rPr>
        <w:t>子基金</w:t>
      </w:r>
      <w:proofErr w:type="gramEnd"/>
      <w:r>
        <w:rPr>
          <w:rFonts w:ascii="仿宋_GB2312" w:cs="Times New Roman" w:hint="eastAsia"/>
          <w:kern w:val="2"/>
          <w:sz w:val="32"/>
          <w:szCs w:val="32"/>
        </w:rPr>
        <w:t>的出资申请，审查相应的基金架构，选择符合条件的</w:t>
      </w:r>
      <w:proofErr w:type="gramStart"/>
      <w:r>
        <w:rPr>
          <w:rFonts w:ascii="仿宋_GB2312" w:cs="Times New Roman" w:hint="eastAsia"/>
          <w:kern w:val="2"/>
          <w:sz w:val="32"/>
          <w:szCs w:val="32"/>
        </w:rPr>
        <w:t>子基金</w:t>
      </w:r>
      <w:proofErr w:type="gramEnd"/>
      <w:r>
        <w:rPr>
          <w:rFonts w:ascii="仿宋_GB2312" w:cs="Times New Roman" w:hint="eastAsia"/>
          <w:kern w:val="2"/>
          <w:sz w:val="32"/>
          <w:szCs w:val="32"/>
        </w:rPr>
        <w:t>管理机构。为了更好地发挥财政资金的引导放大作用，强化纪律约束，规范运作程序，现将相关廉政建设事项告知如下：</w:t>
      </w:r>
      <w:r>
        <w:rPr>
          <w:rFonts w:ascii="仿宋_GB2312" w:cs="Times New Roman"/>
          <w:kern w:val="2"/>
          <w:sz w:val="32"/>
          <w:szCs w:val="32"/>
        </w:rPr>
        <w:t> </w:t>
      </w:r>
    </w:p>
    <w:p w14:paraId="599728D0" w14:textId="77777777" w:rsidR="00E56544" w:rsidRDefault="00000000">
      <w:pPr>
        <w:pStyle w:val="reader-word-layer"/>
        <w:shd w:val="clear" w:color="auto" w:fill="FFFFFF"/>
        <w:spacing w:before="0" w:beforeAutospacing="0" w:after="0" w:afterAutospacing="0"/>
        <w:ind w:firstLine="612"/>
        <w:jc w:val="both"/>
        <w:rPr>
          <w:rFonts w:ascii="黑体" w:eastAsia="黑体" w:hint="eastAsia"/>
          <w:spacing w:val="-7"/>
          <w:sz w:val="32"/>
          <w:szCs w:val="32"/>
        </w:rPr>
      </w:pPr>
      <w:r>
        <w:rPr>
          <w:rFonts w:ascii="黑体" w:eastAsia="黑体" w:hint="eastAsia"/>
          <w:spacing w:val="-7"/>
          <w:sz w:val="32"/>
          <w:szCs w:val="32"/>
        </w:rPr>
        <w:t>一、管理公司工作人员不得从事以下行为：</w:t>
      </w:r>
    </w:p>
    <w:p w14:paraId="1705908D"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1.严禁滥用职权，损害公司或他人利益；</w:t>
      </w:r>
    </w:p>
    <w:p w14:paraId="4B8734A8"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2.严禁利用职务上的便利通过同业经营或关联交易为本人或特定关系人谋取利益；</w:t>
      </w:r>
    </w:p>
    <w:p w14:paraId="1CFBFD28"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3.严禁利用商业秘密、业务渠道等为本人或者他人牟利；</w:t>
      </w:r>
    </w:p>
    <w:p w14:paraId="0A2B9F22"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4.严禁索取、收受任何形式的回扣、手续费、酬金、礼金、感谢费、各种有价证券等；</w:t>
      </w:r>
    </w:p>
    <w:p w14:paraId="46848649"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5.严禁参加有可能影响公正履行职务的宴请、旅游和其它高消费娱乐活动。</w:t>
      </w:r>
    </w:p>
    <w:p w14:paraId="65207B6E" w14:textId="77777777" w:rsidR="00E56544" w:rsidRDefault="00000000">
      <w:pPr>
        <w:pStyle w:val="reader-word-layer"/>
        <w:shd w:val="clear" w:color="auto" w:fill="FFFFFF"/>
        <w:spacing w:before="0" w:beforeAutospacing="0" w:after="0" w:afterAutospacing="0"/>
        <w:ind w:firstLine="612"/>
        <w:jc w:val="both"/>
        <w:rPr>
          <w:rFonts w:ascii="黑体" w:eastAsia="黑体" w:hint="eastAsia"/>
          <w:spacing w:val="-7"/>
          <w:sz w:val="32"/>
          <w:szCs w:val="32"/>
        </w:rPr>
      </w:pPr>
      <w:r>
        <w:rPr>
          <w:rFonts w:ascii="黑体" w:eastAsia="黑体" w:hint="eastAsia"/>
          <w:spacing w:val="-7"/>
          <w:sz w:val="32"/>
          <w:szCs w:val="32"/>
        </w:rPr>
        <w:t>二、贵单位不得从事以下行为：</w:t>
      </w:r>
    </w:p>
    <w:p w14:paraId="2A2C0DCB"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1.不得行贿、变相行贿以及报销本应由管理公司工作人员支付的费用；</w:t>
      </w:r>
    </w:p>
    <w:p w14:paraId="7719EE9F"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lastRenderedPageBreak/>
        <w:t>2.不得赠送礼品、礼金、各种有价证券及其他支付凭证；</w:t>
      </w:r>
    </w:p>
    <w:p w14:paraId="38E44DB6"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3.不得提供任何方式的高消费娱乐活动；</w:t>
      </w:r>
    </w:p>
    <w:p w14:paraId="29861403"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4.不得为管理公司工作人员在贵单位入股、参股、兼职以及为其个人牟利提供便利。</w:t>
      </w:r>
    </w:p>
    <w:p w14:paraId="17BA8937"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以上规定希望得到贵单位的支持和配合，若管理公司工作人员有违反上述规定的行为，在工作中发生不廉洁、不正当及违反相关规范性文件的情形，贵单位有权向中原</w:t>
      </w:r>
      <w:proofErr w:type="gramStart"/>
      <w:r>
        <w:rPr>
          <w:rFonts w:ascii="仿宋_GB2312" w:cs="Times New Roman" w:hint="eastAsia"/>
          <w:kern w:val="2"/>
          <w:sz w:val="32"/>
          <w:szCs w:val="32"/>
        </w:rPr>
        <w:t>科创母基金</w:t>
      </w:r>
      <w:proofErr w:type="gramEnd"/>
      <w:r>
        <w:rPr>
          <w:rFonts w:ascii="仿宋_GB2312" w:cs="Times New Roman" w:hint="eastAsia"/>
          <w:kern w:val="2"/>
          <w:sz w:val="32"/>
          <w:szCs w:val="32"/>
        </w:rPr>
        <w:t>管理公司纪律部门或中原科技</w:t>
      </w:r>
      <w:proofErr w:type="gramStart"/>
      <w:r>
        <w:rPr>
          <w:rFonts w:ascii="仿宋_GB2312" w:cs="Times New Roman" w:hint="eastAsia"/>
          <w:kern w:val="2"/>
          <w:sz w:val="32"/>
          <w:szCs w:val="32"/>
        </w:rPr>
        <w:t>城产业</w:t>
      </w:r>
      <w:proofErr w:type="gramEnd"/>
      <w:r>
        <w:rPr>
          <w:rFonts w:ascii="仿宋_GB2312" w:cs="Times New Roman" w:hint="eastAsia"/>
          <w:kern w:val="2"/>
          <w:sz w:val="32"/>
          <w:szCs w:val="32"/>
        </w:rPr>
        <w:t>引导基金管理委员会投诉反映，管理公司将严肃查处，决不姑息；触犯国家法律的，依法移送司法机关处理。如贵单位人员违反本规定，管理公司有权中止或取消与贵单位的合作，由此造成的后果由贵单位负责。</w:t>
      </w:r>
    </w:p>
    <w:p w14:paraId="6A2EB973"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管理公司廉政建设投诉电话：【</w:t>
      </w:r>
      <w:r>
        <w:rPr>
          <w:rFonts w:ascii="仿宋_GB2312" w:cs="Times New Roman"/>
          <w:kern w:val="2"/>
          <w:sz w:val="32"/>
          <w:szCs w:val="32"/>
        </w:rPr>
        <w:t>0755-26165888</w:t>
      </w:r>
      <w:r>
        <w:rPr>
          <w:rFonts w:ascii="仿宋_GB2312" w:cs="Times New Roman" w:hint="eastAsia"/>
          <w:kern w:val="2"/>
          <w:sz w:val="32"/>
          <w:szCs w:val="32"/>
        </w:rPr>
        <w:t>】</w:t>
      </w:r>
    </w:p>
    <w:p w14:paraId="1D8D7301" w14:textId="77777777" w:rsidR="00E56544" w:rsidRDefault="00000000">
      <w:pPr>
        <w:pStyle w:val="reader-word-layer"/>
        <w:shd w:val="clear" w:color="auto" w:fill="FFFFFF"/>
        <w:spacing w:before="0" w:beforeAutospacing="0" w:after="0" w:afterAutospacing="0"/>
        <w:ind w:firstLine="640"/>
        <w:jc w:val="both"/>
        <w:rPr>
          <w:rFonts w:ascii="仿宋_GB2312" w:cs="Times New Roman" w:hint="eastAsia"/>
          <w:kern w:val="2"/>
          <w:sz w:val="32"/>
          <w:szCs w:val="32"/>
        </w:rPr>
      </w:pPr>
      <w:r>
        <w:rPr>
          <w:rFonts w:ascii="仿宋_GB2312" w:cs="Times New Roman" w:hint="eastAsia"/>
          <w:kern w:val="2"/>
          <w:sz w:val="32"/>
          <w:szCs w:val="32"/>
        </w:rPr>
        <w:t>特此告知！</w:t>
      </w:r>
    </w:p>
    <w:sectPr w:rsidR="00E56544">
      <w:headerReference w:type="default" r:id="rId8"/>
      <w:footerReference w:type="default" r:id="rId9"/>
      <w:pgSz w:w="11906" w:h="16838"/>
      <w:pgMar w:top="2098" w:right="1474" w:bottom="192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95218" w14:textId="77777777" w:rsidR="00DD3B03" w:rsidRDefault="00DD3B03">
      <w:pPr>
        <w:spacing w:line="240" w:lineRule="auto"/>
        <w:ind w:firstLine="640"/>
      </w:pPr>
      <w:r>
        <w:separator/>
      </w:r>
    </w:p>
  </w:endnote>
  <w:endnote w:type="continuationSeparator" w:id="0">
    <w:p w14:paraId="2573A91C" w14:textId="77777777" w:rsidR="00DD3B03" w:rsidRDefault="00DD3B0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C563" w14:textId="77777777" w:rsidR="00E56544" w:rsidRDefault="00000000">
    <w:pPr>
      <w:pStyle w:val="a7"/>
      <w:ind w:firstLine="360"/>
    </w:pPr>
    <w:r>
      <w:rPr>
        <w:noProof/>
      </w:rPr>
      <mc:AlternateContent>
        <mc:Choice Requires="wps">
          <w:drawing>
            <wp:anchor distT="0" distB="0" distL="114298" distR="114298" simplePos="0" relativeHeight="12" behindDoc="0" locked="0" layoutInCell="1" hidden="0" allowOverlap="1" wp14:anchorId="075D7DB4" wp14:editId="28AC19B1">
              <wp:simplePos x="0" y="0"/>
              <wp:positionH relativeFrom="margin">
                <wp:align>outside</wp:align>
              </wp:positionH>
              <wp:positionV relativeFrom="paragraph">
                <wp:posOffset>0</wp:posOffset>
              </wp:positionV>
              <wp:extent cx="977900" cy="230251"/>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230251"/>
                      </a:xfrm>
                      <a:prstGeom prst="rect">
                        <a:avLst/>
                      </a:prstGeom>
                      <a:noFill/>
                      <a:ln w="6350" cap="flat" cmpd="sng">
                        <a:noFill/>
                        <a:prstDash val="solid"/>
                        <a:round/>
                      </a:ln>
                    </wps:spPr>
                    <wps:txbx>
                      <w:txbxContent>
                        <w:p w14:paraId="6D6250B9" w14:textId="77777777" w:rsidR="00E56544" w:rsidRDefault="00000000">
                          <w:pPr>
                            <w:pStyle w:val="a7"/>
                            <w:ind w:firstLine="560"/>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wps:txbx>
                    <wps:bodyPr vert="horz" wrap="none" lIns="0" tIns="0" rIns="0" bIns="0" anchor="t" anchorCtr="0">
                      <a:sp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 3" o:spid="_x0000_s3" filled="f" stroked="f" strokeweight="0.5pt" style="position:absolute;margin-left:92.80001pt;margin-top:0.0pt;width:77.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eastAsia="宋体"/>
                        <w:sz w:val="28"/>
                        <w:szCs w:val="28"/>
                      </w:rPr>
                    </w:pP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sz w:val="28"/>
                        <w:szCs w:val="28"/>
                      </w:rPr>
                      <w:t>10</w:t>
                    </w:r>
                    <w:r>
                      <w:rPr>
                        <w:rFonts w:ascii="宋体" w:eastAsia="宋体" w:hint="eastAsia"/>
                        <w:sz w:val="28"/>
                        <w:szCs w:val="28"/>
                      </w:rPr>
                      <w:fldChar w:fldCharType="end"/>
                    </w:r>
                    <w:r>
                      <w:rPr>
                        <w:rFonts w:ascii="宋体" w:eastAsia="宋体"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525B" w14:textId="77777777" w:rsidR="00DD3B03" w:rsidRDefault="00DD3B03">
      <w:pPr>
        <w:spacing w:line="240" w:lineRule="auto"/>
        <w:ind w:firstLine="640"/>
      </w:pPr>
      <w:r>
        <w:separator/>
      </w:r>
    </w:p>
  </w:footnote>
  <w:footnote w:type="continuationSeparator" w:id="0">
    <w:p w14:paraId="71C9F34A" w14:textId="77777777" w:rsidR="00DD3B03" w:rsidRDefault="00DD3B03">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3A7" w14:textId="77777777" w:rsidR="00E56544" w:rsidRDefault="00E56544">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052B20"/>
    <w:multiLevelType w:val="multilevel"/>
    <w:tmpl w:val="1F052B20"/>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2" w15:restartNumberingAfterBreak="0">
    <w:nsid w:val="2FDE6B8A"/>
    <w:multiLevelType w:val="singleLevel"/>
    <w:tmpl w:val="2FDE6B8A"/>
    <w:lvl w:ilvl="0">
      <w:start w:val="1"/>
      <w:numFmt w:val="chineseCounting"/>
      <w:lvlRestart w:val="0"/>
      <w:suff w:val="nothing"/>
      <w:lvlText w:val="（%1）"/>
      <w:lvlJc w:val="left"/>
      <w:rPr>
        <w:rFonts w:hint="eastAsia"/>
      </w:rPr>
    </w:lvl>
  </w:abstractNum>
  <w:abstractNum w:abstractNumId="3" w15:restartNumberingAfterBreak="0">
    <w:nsid w:val="522770A7"/>
    <w:multiLevelType w:val="multilevel"/>
    <w:tmpl w:val="522770A7"/>
    <w:lvl w:ilvl="0">
      <w:start w:val="1"/>
      <w:numFmt w:val="decimal"/>
      <w:lvlRestart w:val="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BC20C3"/>
    <w:multiLevelType w:val="multilevel"/>
    <w:tmpl w:val="7FBC20C3"/>
    <w:lvl w:ilvl="0">
      <w:start w:val="1"/>
      <w:numFmt w:val="decimal"/>
      <w:lvlRestart w:val="0"/>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196849471">
    <w:abstractNumId w:val="2"/>
  </w:num>
  <w:num w:numId="2" w16cid:durableId="1565531769">
    <w:abstractNumId w:val="1"/>
  </w:num>
  <w:num w:numId="3" w16cid:durableId="2022314748">
    <w:abstractNumId w:val="4"/>
  </w:num>
  <w:num w:numId="4" w16cid:durableId="791636240">
    <w:abstractNumId w:val="3"/>
  </w:num>
  <w:num w:numId="5" w16cid:durableId="111706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HorizontalSpacing w:val="16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lM2JjZDhlMDIxOTc5NjcxYWMyYzlmYjE2YmRlMjUifQ=="/>
    <w:docVar w:name="KSO_WPS_MARK_KEY" w:val="90fdc807-6293-4e1a-a8da-830a40b70490"/>
  </w:docVars>
  <w:rsids>
    <w:rsidRoot w:val="00E56544"/>
    <w:rsid w:val="000B262C"/>
    <w:rsid w:val="00205676"/>
    <w:rsid w:val="00421FD4"/>
    <w:rsid w:val="00441D6F"/>
    <w:rsid w:val="00B4105A"/>
    <w:rsid w:val="00B846DA"/>
    <w:rsid w:val="00B90C1E"/>
    <w:rsid w:val="00C16D1E"/>
    <w:rsid w:val="00D26CC3"/>
    <w:rsid w:val="00DD3B03"/>
    <w:rsid w:val="00E56544"/>
    <w:rsid w:val="00F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3CB2"/>
  <w15:docId w15:val="{7A1D5D61-1807-4B84-B624-63145EE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adjustRightInd w:val="0"/>
      <w:snapToGrid w:val="0"/>
      <w:spacing w:line="560" w:lineRule="exact"/>
      <w:ind w:firstLineChars="200" w:firstLine="200"/>
      <w:jc w:val="both"/>
    </w:pPr>
    <w:rPr>
      <w:rFonts w:ascii="仿宋_GB2312" w:eastAsia="仿宋_GB2312" w:cs="仿宋_GB2312"/>
      <w:kern w:val="2"/>
      <w:sz w:val="32"/>
      <w:szCs w:val="32"/>
    </w:rPr>
  </w:style>
  <w:style w:type="paragraph" w:styleId="1">
    <w:name w:val="heading 1"/>
    <w:next w:val="a"/>
    <w:uiPriority w:val="9"/>
    <w:qFormat/>
    <w:pPr>
      <w:adjustRightInd w:val="0"/>
      <w:snapToGrid w:val="0"/>
      <w:spacing w:line="560" w:lineRule="exact"/>
      <w:ind w:firstLineChars="200" w:firstLine="200"/>
      <w:outlineLvl w:val="0"/>
    </w:pPr>
    <w:rPr>
      <w:rFonts w:ascii="黑体" w:eastAsia="黑体" w:cs="黑体"/>
      <w:bCs/>
      <w:kern w:val="44"/>
      <w:sz w:val="32"/>
      <w:szCs w:val="32"/>
    </w:rPr>
  </w:style>
  <w:style w:type="paragraph" w:styleId="20">
    <w:name w:val="heading 2"/>
    <w:basedOn w:val="a"/>
    <w:next w:val="a"/>
    <w:link w:val="21"/>
    <w:uiPriority w:val="9"/>
    <w:unhideWhenUsed/>
    <w:qFormat/>
    <w:pPr>
      <w:outlineLvl w:val="1"/>
    </w:pPr>
    <w:rPr>
      <w:rFonts w:ascii="楷体_GB2312" w:eastAsia="楷体_GB2312" w:cs="楷体_GB2312"/>
      <w:bCs/>
    </w:rPr>
  </w:style>
  <w:style w:type="paragraph" w:styleId="3">
    <w:name w:val="heading 3"/>
    <w:basedOn w:val="a"/>
    <w:next w:val="a"/>
    <w:uiPriority w:val="9"/>
    <w:semiHidden/>
    <w:unhideWhenUsed/>
    <w:qFormat/>
    <w:pPr>
      <w:outlineLvl w:val="2"/>
    </w:pPr>
    <w:rPr>
      <w:b/>
      <w:bCs/>
    </w:rPr>
  </w:style>
  <w:style w:type="paragraph" w:styleId="4">
    <w:name w:val="heading 4"/>
    <w:basedOn w:val="a"/>
    <w:next w:val="a"/>
    <w:uiPriority w:val="9"/>
    <w:semiHidden/>
    <w:unhideWhenUsed/>
    <w:qFormat/>
    <w:pPr>
      <w:keepNext/>
      <w:keepLines/>
      <w:spacing w:before="280" w:after="290" w:line="376" w:lineRule="atLeast"/>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标题 2 字符"/>
    <w:basedOn w:val="a0"/>
    <w:link w:val="20"/>
    <w:rPr>
      <w:rFonts w:ascii="楷体_GB2312" w:eastAsia="楷体_GB2312" w:cs="楷体_GB2312"/>
      <w:bCs/>
      <w:kern w:val="2"/>
      <w:sz w:val="32"/>
      <w:szCs w:val="32"/>
      <w:lang w:val="en-US" w:eastAsia="zh-CN" w:bidi="ar-SA"/>
    </w:rPr>
  </w:style>
  <w:style w:type="paragraph" w:styleId="2">
    <w:name w:val="Body Text First Indent 2"/>
    <w:next w:val="a"/>
    <w:pPr>
      <w:spacing w:after="120" w:line="560" w:lineRule="exact"/>
      <w:ind w:leftChars="200" w:left="200" w:firstLineChars="200" w:firstLine="200"/>
      <w:jc w:val="both"/>
    </w:pPr>
    <w:rPr>
      <w:rFonts w:ascii="仿宋_GB2312" w:eastAsia="仿宋_GB2312"/>
      <w:kern w:val="2"/>
      <w:sz w:val="32"/>
      <w:szCs w:val="22"/>
    </w:rPr>
  </w:style>
  <w:style w:type="paragraph" w:styleId="a3">
    <w:name w:val="annotation text"/>
    <w:basedOn w:val="a"/>
    <w:pPr>
      <w:jc w:val="left"/>
    </w:pPr>
  </w:style>
  <w:style w:type="paragraph" w:styleId="a4">
    <w:name w:val="Body Text"/>
    <w:basedOn w:val="a"/>
  </w:style>
  <w:style w:type="paragraph" w:styleId="a5">
    <w:name w:val="Body Text Indent"/>
    <w:basedOn w:val="a"/>
    <w:pPr>
      <w:spacing w:after="120"/>
      <w:ind w:leftChars="200" w:left="200"/>
    </w:pPr>
  </w:style>
  <w:style w:type="paragraph" w:styleId="a6">
    <w:name w:val="endnote text"/>
    <w:basedOn w:val="a"/>
    <w:pPr>
      <w:jc w:val="left"/>
    </w:pPr>
  </w:style>
  <w:style w:type="paragraph" w:styleId="a7">
    <w:name w:val="footer"/>
    <w:basedOn w:val="a"/>
    <w:pPr>
      <w:tabs>
        <w:tab w:val="center" w:pos="4153"/>
        <w:tab w:val="right" w:pos="8306"/>
      </w:tabs>
      <w:spacing w:line="240" w:lineRule="atLeast"/>
      <w:jc w:val="left"/>
    </w:pPr>
    <w:rPr>
      <w:sz w:val="18"/>
      <w:szCs w:val="18"/>
    </w:rPr>
  </w:style>
  <w:style w:type="paragraph" w:styleId="a8">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22">
    <w:name w:val="Body Text 2"/>
    <w:basedOn w:val="a"/>
    <w:pPr>
      <w:spacing w:after="120" w:line="480" w:lineRule="auto"/>
    </w:pPr>
  </w:style>
  <w:style w:type="paragraph" w:styleId="a9">
    <w:name w:val="Normal (Web)"/>
    <w:basedOn w:val="a"/>
    <w:pPr>
      <w:spacing w:beforeAutospacing="1" w:afterAutospacing="1"/>
      <w:jc w:val="left"/>
    </w:pPr>
    <w:rPr>
      <w:rFonts w:cs="Times New Roman"/>
      <w:kern w:val="0"/>
      <w:sz w:val="24"/>
    </w:rPr>
  </w:style>
  <w:style w:type="paragraph" w:styleId="aa">
    <w:name w:val="Title"/>
    <w:basedOn w:val="a"/>
    <w:next w:val="a"/>
    <w:uiPriority w:val="10"/>
    <w:qFormat/>
    <w:pPr>
      <w:ind w:firstLineChars="0" w:firstLine="0"/>
      <w:jc w:val="center"/>
      <w:outlineLvl w:val="0"/>
    </w:pPr>
    <w:rPr>
      <w:rFonts w:ascii="方正小标宋简体" w:eastAsia="方正小标宋简体" w:cs="Times New Roman"/>
      <w:sz w:val="44"/>
    </w:rPr>
  </w:style>
  <w:style w:type="character" w:styleId="ab">
    <w:name w:val="Strong"/>
    <w:basedOn w:val="a0"/>
    <w:rPr>
      <w:b/>
      <w:bCs/>
    </w:rPr>
  </w:style>
  <w:style w:type="character" w:styleId="ac">
    <w:name w:val="Hyperlink"/>
    <w:basedOn w:val="a0"/>
    <w:rPr>
      <w:color w:val="0000FF"/>
      <w:u w:val="single"/>
    </w:rPr>
  </w:style>
  <w:style w:type="paragraph" w:customStyle="1" w:styleId="BodyText">
    <w:name w:val="BodyText"/>
    <w:pPr>
      <w:widowControl w:val="0"/>
      <w:jc w:val="both"/>
      <w:textAlignment w:val="baseline"/>
    </w:pPr>
    <w:rPr>
      <w:rFonts w:ascii="Calibri" w:hAnsi="Calibri" w:cs="Arial"/>
      <w:kern w:val="2"/>
      <w:sz w:val="21"/>
      <w:szCs w:val="24"/>
    </w:rPr>
  </w:style>
  <w:style w:type="character" w:customStyle="1" w:styleId="SubtleReference4139489a-1d35-4be8-9ef7-c9deae9e2108">
    <w:name w:val="Subtle Reference_4139489a-1d35-4be8-9ef7-c9deae9e2108"/>
    <w:basedOn w:val="a0"/>
    <w:rPr>
      <w:caps w:val="0"/>
      <w:smallCaps/>
      <w:color w:val="C0504D"/>
      <w:u w:val="single"/>
    </w:rPr>
  </w:style>
  <w:style w:type="paragraph" w:customStyle="1" w:styleId="-11">
    <w:name w:val="彩色列表 - 着色 11"/>
    <w:basedOn w:val="a"/>
    <w:pPr>
      <w:spacing w:line="440" w:lineRule="exact"/>
    </w:pPr>
    <w:rPr>
      <w:rFonts w:ascii="Arial" w:hAnsi="Arial"/>
      <w:szCs w:val="24"/>
    </w:rPr>
  </w:style>
  <w:style w:type="paragraph" w:styleId="ad">
    <w:name w:val="List Paragraph"/>
    <w:basedOn w:val="a"/>
  </w:style>
  <w:style w:type="character" w:customStyle="1" w:styleId="10">
    <w:name w:val="未处理的提及1"/>
    <w:basedOn w:val="a0"/>
    <w:rPr>
      <w:color w:val="605E5C"/>
      <w:shd w:val="clear" w:color="auto" w:fill="E1DFDD"/>
    </w:rPr>
  </w:style>
  <w:style w:type="paragraph" w:customStyle="1" w:styleId="11">
    <w:name w:val="修订1"/>
    <w:rPr>
      <w:rFonts w:ascii="仿宋_GB2312" w:eastAsia="仿宋_GB2312" w:cs="宋体"/>
      <w:kern w:val="2"/>
      <w:sz w:val="32"/>
      <w:szCs w:val="22"/>
    </w:rPr>
  </w:style>
  <w:style w:type="paragraph" w:customStyle="1" w:styleId="23">
    <w:name w:val="修订2"/>
    <w:rPr>
      <w:rFonts w:ascii="仿宋_GB2312" w:eastAsia="仿宋_GB2312" w:cs="宋体"/>
      <w:kern w:val="2"/>
      <w:sz w:val="32"/>
      <w:szCs w:val="22"/>
    </w:rPr>
  </w:style>
  <w:style w:type="paragraph" w:customStyle="1" w:styleId="reader-word-layer">
    <w:name w:val="reader-word-layer"/>
    <w:basedOn w:val="a"/>
    <w:pPr>
      <w:spacing w:before="100" w:beforeAutospacing="1" w:after="100" w:afterAutospacing="1"/>
      <w:jc w:val="left"/>
    </w:pPr>
    <w:rPr>
      <w:rFonts w:ascii="宋体" w:hAnsi="宋体"/>
      <w:kern w:val="0"/>
      <w:sz w:val="24"/>
      <w:szCs w:val="24"/>
    </w:rPr>
  </w:style>
  <w:style w:type="paragraph" w:customStyle="1" w:styleId="30">
    <w:name w:val="修订3"/>
    <w:rPr>
      <w:rFonts w:ascii="仿宋_GB2312" w:eastAsia="仿宋_GB2312" w:cs="宋体"/>
      <w:kern w:val="2"/>
      <w:sz w:val="32"/>
      <w:szCs w:val="22"/>
    </w:rPr>
  </w:style>
  <w:style w:type="paragraph" w:customStyle="1" w:styleId="ae">
    <w:name w:val="表格标题"/>
    <w:pPr>
      <w:spacing w:line="560" w:lineRule="exact"/>
      <w:jc w:val="center"/>
    </w:pPr>
    <w:rPr>
      <w:rFonts w:ascii="黑体" w:eastAsia="黑体" w:cs="仿宋_GB2312"/>
      <w:kern w:val="2"/>
      <w:sz w:val="24"/>
      <w:szCs w:val="32"/>
    </w:rPr>
  </w:style>
  <w:style w:type="paragraph" w:customStyle="1" w:styleId="af">
    <w:name w:val="表格内容"/>
    <w:basedOn w:val="22"/>
    <w:next w:val="a"/>
    <w:pPr>
      <w:spacing w:after="0" w:line="240" w:lineRule="atLeast"/>
      <w:ind w:firstLineChars="0" w:firstLine="0"/>
    </w:pPr>
    <w:rPr>
      <w:rFonts w:ascii="宋体" w:eastAsia="宋体"/>
      <w:sz w:val="24"/>
    </w:rPr>
  </w:style>
  <w:style w:type="paragraph" w:customStyle="1" w:styleId="af0">
    <w:name w:val="四级标题"/>
    <w:basedOn w:val="4"/>
    <w:pPr>
      <w:spacing w:before="0" w:after="0" w:line="560" w:lineRule="exact"/>
    </w:pPr>
    <w:rPr>
      <w:rFonts w:ascii="仿宋_GB2312" w:eastAsia="仿宋_GB2312"/>
      <w:b w:val="0"/>
      <w:bCs w:val="0"/>
      <w:sz w:val="32"/>
    </w:rPr>
  </w:style>
  <w:style w:type="character" w:customStyle="1" w:styleId="24">
    <w:name w:val="正文文本首行缩进 2 字符"/>
    <w:rPr>
      <w:rFonts w:ascii="仿宋_GB2312" w:eastAsia="仿宋_GB2312" w:cs="仿宋_GB2312"/>
      <w:kern w:val="2"/>
      <w:sz w:val="32"/>
      <w:szCs w:val="32"/>
    </w:rPr>
  </w:style>
  <w:style w:type="paragraph" w:customStyle="1" w:styleId="40">
    <w:name w:val="修订4"/>
    <w:rPr>
      <w:rFonts w:ascii="仿宋_GB2312" w:eastAsia="仿宋_GB2312" w:cs="仿宋_GB2312"/>
      <w:kern w:val="2"/>
      <w:sz w:val="32"/>
      <w:szCs w:val="32"/>
    </w:rPr>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f1">
    <w:name w:val="Revision"/>
    <w:hidden/>
    <w:uiPriority w:val="99"/>
    <w:semiHidden/>
    <w:rsid w:val="00D26CC3"/>
    <w:rPr>
      <w:rFonts w:ascii="仿宋_GB2312" w:eastAsia="仿宋_GB2312" w:cs="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F5BF-6EDB-4C5B-A2DC-6FAD8230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QY L</cp:lastModifiedBy>
  <cp:revision>2</cp:revision>
  <cp:lastPrinted>2024-05-11T02:11:00Z</cp:lastPrinted>
  <dcterms:created xsi:type="dcterms:W3CDTF">2024-07-29T07:20:00Z</dcterms:created>
  <dcterms:modified xsi:type="dcterms:W3CDTF">2024-07-29T07:20:00Z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0472061CCFBC4ED28E9BD2D36C00E701</vt:lpwstr>
  </property>
  <property fmtid="{D5CDD505-2E9C-101B-9397-08002B2CF9AE}" pid="4" name="commondata">
    <vt:lpwstr>eyJoZGlkIjoiMDBlZWY5ODhkZDYzZjU1NThhNTNhZmJjODZlZmY4MDgifQ==</vt:lpwstr>
  </property>
</Properties>
</file>