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EAE2" w14:textId="77777777" w:rsidR="00E56544" w:rsidRDefault="00000000">
      <w:pPr>
        <w:ind w:firstLineChars="0" w:firstLine="0"/>
        <w:outlineLvl w:val="0"/>
        <w:rPr>
          <w:rFonts w:ascii="宋体" w:eastAsia="宋体" w:cs="Times New Roman"/>
          <w:b/>
          <w:sz w:val="44"/>
          <w:szCs w:val="44"/>
        </w:rPr>
      </w:pPr>
      <w:r>
        <w:rPr>
          <w:rFonts w:ascii="黑体" w:eastAsia="黑体" w:cs="黑体" w:hint="eastAsia"/>
        </w:rPr>
        <w:t>附件1</w:t>
      </w:r>
    </w:p>
    <w:p w14:paraId="4F0BAD5A" w14:textId="77777777" w:rsidR="00E56544" w:rsidRDefault="00E56544">
      <w:pPr>
        <w:pStyle w:val="a4"/>
        <w:ind w:firstLineChars="0" w:firstLine="0"/>
      </w:pPr>
    </w:p>
    <w:p w14:paraId="0E0639F4" w14:textId="77777777" w:rsidR="00E56544" w:rsidRDefault="00000000">
      <w:pPr>
        <w:ind w:firstLineChars="0" w:firstLine="0"/>
        <w:jc w:val="center"/>
        <w:rPr>
          <w:rFonts w:ascii="方正小标宋简体" w:eastAsia="方正小标宋简体" w:cs="黑体"/>
          <w:sz w:val="44"/>
          <w:szCs w:val="44"/>
        </w:rPr>
      </w:pPr>
      <w:proofErr w:type="gramStart"/>
      <w:r>
        <w:rPr>
          <w:rFonts w:ascii="方正小标宋简体" w:eastAsia="方正小标宋简体" w:cs="黑体" w:hint="eastAsia"/>
          <w:sz w:val="44"/>
          <w:szCs w:val="44"/>
        </w:rPr>
        <w:t>子基金</w:t>
      </w:r>
      <w:proofErr w:type="gramEnd"/>
      <w:r>
        <w:rPr>
          <w:rFonts w:ascii="方正小标宋简体" w:eastAsia="方正小标宋简体" w:cs="黑体" w:hint="eastAsia"/>
          <w:sz w:val="44"/>
          <w:szCs w:val="44"/>
        </w:rPr>
        <w:t>申请表</w:t>
      </w:r>
    </w:p>
    <w:p w14:paraId="1FE9FA78" w14:textId="77777777" w:rsidR="00E56544" w:rsidRDefault="00000000">
      <w:pPr>
        <w:ind w:firstLineChars="0" w:firstLine="0"/>
        <w:jc w:val="right"/>
        <w:rPr>
          <w:rFonts w:ascii="黑体" w:eastAsia="黑体" w:cs="黑体"/>
          <w:sz w:val="24"/>
        </w:rPr>
      </w:pPr>
      <w:r>
        <w:rPr>
          <w:rFonts w:ascii="黑体" w:eastAsia="黑体" w:cs="黑体" w:hint="eastAsia"/>
          <w:sz w:val="24"/>
        </w:rPr>
        <w:t>（</w:t>
      </w:r>
      <w:r>
        <w:rPr>
          <w:rFonts w:ascii="宋体" w:eastAsia="宋体" w:cs="黑体" w:hint="eastAsia"/>
          <w:sz w:val="24"/>
        </w:rPr>
        <w:t>公章</w:t>
      </w:r>
      <w:r>
        <w:rPr>
          <w:rFonts w:ascii="黑体" w:eastAsia="黑体" w:cs="黑体" w:hint="eastAsia"/>
          <w:sz w:val="24"/>
        </w:rPr>
        <w:t>）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25"/>
        <w:gridCol w:w="1984"/>
        <w:gridCol w:w="1843"/>
        <w:gridCol w:w="2546"/>
      </w:tblGrid>
      <w:tr w:rsidR="00E56544" w14:paraId="55C9BD76" w14:textId="77777777">
        <w:trPr>
          <w:jc w:val="center"/>
        </w:trPr>
        <w:tc>
          <w:tcPr>
            <w:tcW w:w="9351" w:type="dxa"/>
            <w:gridSpan w:val="5"/>
            <w:shd w:val="clear" w:color="000000" w:fill="FFFFFF"/>
            <w:vAlign w:val="center"/>
          </w:tcPr>
          <w:p w14:paraId="6E3A833D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一、管理机构</w:t>
            </w:r>
          </w:p>
        </w:tc>
      </w:tr>
      <w:tr w:rsidR="00E56544" w14:paraId="56BCDEDA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37762CE9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BA5C6B4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1C4BBFC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ascii="宋体" w:eastAsia="宋体" w:cs="??_GB2312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636C8F28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30EBF3B4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6BE2B90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899E909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38DE12C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组织机构代码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25044C32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67128A4D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66F11C8D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注册资本</w:t>
            </w:r>
            <w:r>
              <w:rPr>
                <w:rFonts w:ascii="宋体" w:eastAsia="宋体" w:cs="??_GB2312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AE13719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D0B86CF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E3F8D09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E56544" w14:paraId="01795B0B" w14:textId="77777777">
        <w:trPr>
          <w:jc w:val="center"/>
        </w:trPr>
        <w:tc>
          <w:tcPr>
            <w:tcW w:w="1753" w:type="dxa"/>
            <w:vMerge w:val="restart"/>
            <w:shd w:val="clear" w:color="000000" w:fill="FFFFFF"/>
            <w:vAlign w:val="center"/>
          </w:tcPr>
          <w:p w14:paraId="4D50ABE0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2ADE8C8A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C24DA5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7297FAB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6E139CF5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522DC978" w14:textId="77777777">
        <w:trPr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27A6682D" w14:textId="77777777" w:rsidR="00E56544" w:rsidRDefault="00E56544">
            <w:pPr>
              <w:ind w:firstLine="640"/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35F73C26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8CB4CD0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A4EC956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1B8ED929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60E6A071" w14:textId="77777777">
        <w:trPr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4196D6B0" w14:textId="77777777" w:rsidR="00E56544" w:rsidRDefault="00E56544">
            <w:pPr>
              <w:ind w:firstLine="640"/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52B6EC76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9A527E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15B8DA2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00553BE0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2F60D761" w14:textId="77777777">
        <w:trPr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0AA6055E" w14:textId="77777777" w:rsidR="00E56544" w:rsidRDefault="00E56544">
            <w:pPr>
              <w:ind w:firstLine="640"/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1E28A1BF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7D1D183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75F601C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50F703FD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1D3F708C" w14:textId="77777777">
        <w:trPr>
          <w:jc w:val="center"/>
        </w:trPr>
        <w:tc>
          <w:tcPr>
            <w:tcW w:w="9351" w:type="dxa"/>
            <w:gridSpan w:val="5"/>
            <w:shd w:val="clear" w:color="000000" w:fill="FFFFFF"/>
            <w:vAlign w:val="center"/>
          </w:tcPr>
          <w:p w14:paraId="31336F3E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二、</w:t>
            </w:r>
            <w:proofErr w:type="gramStart"/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</w:p>
        </w:tc>
      </w:tr>
      <w:tr w:rsidR="00E56544" w14:paraId="76F1F245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5CD683A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42449D8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168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F31B5F8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011E9E0D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 w:cs="??_GB2312"/>
                <w:kern w:val="0"/>
                <w:sz w:val="24"/>
                <w:szCs w:val="24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□公司制</w:t>
            </w:r>
          </w:p>
          <w:p w14:paraId="0EA1F99F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 w:rsidR="00E56544" w14:paraId="40581E5E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3AE83E89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lastRenderedPageBreak/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7AB3DA91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168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0D4F3D8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存续期限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649B9962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168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3EB2DCB6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0F91C6DB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68676B4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F84CB9B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投资阶段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3483C895" w14:textId="77777777" w:rsidR="00E56544" w:rsidRDefault="00E56544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</w:p>
        </w:tc>
      </w:tr>
      <w:tr w:rsidR="00E56544" w14:paraId="2B990B50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6ECA1120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8FFDEC0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 w:cs="??_GB2312"/>
                <w:kern w:val="0"/>
                <w:sz w:val="24"/>
                <w:szCs w:val="24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□直接投资</w:t>
            </w:r>
          </w:p>
          <w:p w14:paraId="6B115BC4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□间接投资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3FA5D40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规模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06D81B39" w14:textId="77777777" w:rsidR="00E56544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E56544" w14:paraId="75FA588D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953B8FB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参股基金类型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0BEC4283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□天使投资子基金</w:t>
            </w:r>
          </w:p>
          <w:p w14:paraId="01C06074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□创业投资</w:t>
            </w: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14:paraId="4C40F2D8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已募集资金及占比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2B124DB" w14:textId="77777777" w:rsidR="00E56544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10DFD4FB" w14:textId="77777777" w:rsidR="00E56544" w:rsidRDefault="00000000">
            <w:pPr>
              <w:autoSpaceDE w:val="0"/>
              <w:autoSpaceDN w:val="0"/>
              <w:ind w:firstLineChars="500" w:firstLine="120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占比：</w:t>
            </w:r>
            <w:r>
              <w:rPr>
                <w:rFonts w:ascii="宋体" w:eastAsia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</w:tr>
      <w:tr w:rsidR="00E56544" w14:paraId="7D14EC14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0242258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管理机构承诺出资及占比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25464D08" w14:textId="77777777" w:rsidR="00E56544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1505F530" w14:textId="77777777" w:rsidR="00E56544" w:rsidRDefault="00000000">
            <w:pPr>
              <w:autoSpaceDE w:val="0"/>
              <w:autoSpaceDN w:val="0"/>
              <w:ind w:firstLineChars="583" w:firstLine="1399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占比：</w:t>
            </w:r>
            <w:r>
              <w:rPr>
                <w:rFonts w:ascii="宋体" w:eastAsia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09BFEA4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管理机构关联方承诺出资及占比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1B84A901" w14:textId="77777777" w:rsidR="00E56544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4B545385" w14:textId="77777777" w:rsidR="00E56544" w:rsidRDefault="00000000">
            <w:pPr>
              <w:autoSpaceDE w:val="0"/>
              <w:autoSpaceDN w:val="0"/>
              <w:ind w:firstLineChars="500" w:firstLine="120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占比：</w:t>
            </w:r>
            <w:r>
              <w:rPr>
                <w:rFonts w:ascii="宋体" w:eastAsia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</w:tr>
      <w:tr w:rsidR="00E56544" w14:paraId="297A5614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6B1C882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申请中原</w:t>
            </w: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科创母基金</w:t>
            </w:r>
            <w:proofErr w:type="gramEnd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0D65E5D7" w14:textId="77777777" w:rsidR="00E56544" w:rsidRDefault="00000000">
            <w:pPr>
              <w:autoSpaceDE w:val="0"/>
              <w:autoSpaceDN w:val="0"/>
              <w:ind w:firstLineChars="650" w:firstLine="156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92F2EF1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中原</w:t>
            </w:r>
            <w:proofErr w:type="gramStart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科创母基金</w:t>
            </w:r>
            <w:proofErr w:type="gramEnd"/>
            <w:r>
              <w:rPr>
                <w:rFonts w:ascii="宋体" w:eastAsia="宋体" w:hint="eastAsia"/>
                <w:kern w:val="0"/>
                <w:sz w:val="24"/>
                <w:szCs w:val="24"/>
                <w:lang w:val="zh-CN"/>
              </w:rPr>
              <w:t>出资比例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4228921E" w14:textId="77777777" w:rsidR="00E56544" w:rsidRDefault="00000000">
            <w:pPr>
              <w:autoSpaceDE w:val="0"/>
              <w:autoSpaceDN w:val="0"/>
              <w:ind w:firstLineChars="0" w:firstLine="0"/>
              <w:rPr>
                <w:rFonts w:ascii="宋体" w:eastAsia="宋体" w:cs="??_GB2312"/>
                <w:kern w:val="0"/>
                <w:sz w:val="24"/>
                <w:szCs w:val="24"/>
              </w:rPr>
            </w:pPr>
            <w:r>
              <w:rPr>
                <w:rFonts w:ascii="宋体" w:eastAsia="宋体" w:cs="??_GB2312"/>
                <w:kern w:val="0"/>
                <w:sz w:val="24"/>
                <w:szCs w:val="24"/>
              </w:rPr>
              <w:t xml:space="preserve">     %</w:t>
            </w:r>
          </w:p>
        </w:tc>
      </w:tr>
    </w:tbl>
    <w:p w14:paraId="5544F430" w14:textId="77777777" w:rsidR="00E56544" w:rsidRDefault="00E56544">
      <w:pPr>
        <w:ind w:firstLineChars="0" w:firstLine="0"/>
        <w:rPr>
          <w:rFonts w:cs="黑体"/>
          <w:szCs w:val="28"/>
        </w:rPr>
      </w:pPr>
    </w:p>
    <w:p w14:paraId="5158B4BF" w14:textId="77777777" w:rsidR="00E56544" w:rsidRDefault="00E56544">
      <w:pPr>
        <w:ind w:firstLineChars="0" w:firstLine="0"/>
        <w:rPr>
          <w:rFonts w:cs="黑体"/>
          <w:szCs w:val="28"/>
        </w:rPr>
      </w:pPr>
    </w:p>
    <w:p w14:paraId="531ADF06" w14:textId="77777777" w:rsidR="00E56544" w:rsidRDefault="00E56544">
      <w:pPr>
        <w:ind w:firstLineChars="0" w:firstLine="0"/>
        <w:rPr>
          <w:rFonts w:cs="黑体"/>
          <w:szCs w:val="28"/>
        </w:rPr>
      </w:pPr>
    </w:p>
    <w:p w14:paraId="48EAC8A3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721FFEC9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507E6299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1B9971E8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68B3A174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4E45C69E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65E16F51" w14:textId="77777777" w:rsidR="00E56544" w:rsidRDefault="00E56544">
      <w:pPr>
        <w:pStyle w:val="BodyText"/>
        <w:rPr>
          <w:rFonts w:cs="黑体"/>
          <w:b/>
          <w:bCs/>
          <w:szCs w:val="28"/>
        </w:rPr>
      </w:pPr>
    </w:p>
    <w:p w14:paraId="1478610D" w14:textId="77777777" w:rsidR="00E56544" w:rsidRDefault="00E56544">
      <w:pPr>
        <w:ind w:firstLineChars="0" w:firstLine="0"/>
        <w:jc w:val="center"/>
        <w:rPr>
          <w:rFonts w:ascii="宋体" w:eastAsia="宋体" w:cs="Times New Roman"/>
          <w:sz w:val="36"/>
          <w:szCs w:val="36"/>
          <w:u w:val="single"/>
        </w:rPr>
      </w:pPr>
    </w:p>
    <w:p w14:paraId="1D8D7301" w14:textId="3D1160DD" w:rsidR="00E56544" w:rsidRDefault="00E56544" w:rsidP="00D26CC3">
      <w:pPr>
        <w:pStyle w:val="reader-word-layer"/>
        <w:spacing w:before="0" w:beforeAutospacing="0" w:after="0" w:afterAutospacing="0"/>
        <w:ind w:firstLineChars="0" w:firstLine="0"/>
        <w:jc w:val="both"/>
        <w:outlineLvl w:val="0"/>
        <w:rPr>
          <w:rFonts w:ascii="仿宋_GB2312" w:cs="Times New Roman" w:hint="eastAsia"/>
          <w:kern w:val="2"/>
          <w:sz w:val="32"/>
          <w:szCs w:val="32"/>
        </w:rPr>
      </w:pPr>
    </w:p>
    <w:sectPr w:rsidR="00E56544">
      <w:headerReference w:type="default" r:id="rId8"/>
      <w:footerReference w:type="default" r:id="rId9"/>
      <w:pgSz w:w="11906" w:h="16838"/>
      <w:pgMar w:top="2098" w:right="1474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2E9E" w14:textId="77777777" w:rsidR="002C113C" w:rsidRDefault="002C113C">
      <w:pPr>
        <w:spacing w:line="240" w:lineRule="auto"/>
        <w:ind w:firstLine="640"/>
      </w:pPr>
      <w:r>
        <w:separator/>
      </w:r>
    </w:p>
  </w:endnote>
  <w:endnote w:type="continuationSeparator" w:id="0">
    <w:p w14:paraId="3AD9AABB" w14:textId="77777777" w:rsidR="002C113C" w:rsidRDefault="002C11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C563" w14:textId="77777777" w:rsidR="00E56544" w:rsidRDefault="0000000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 wp14:anchorId="075D7DB4" wp14:editId="28AC19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251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79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6250B9" w14:textId="77777777" w:rsidR="00E56544" w:rsidRDefault="00000000">
                          <w:pPr>
                            <w:pStyle w:val="a7"/>
                            <w:ind w:firstLine="560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rokeweight="0.5pt" style="position:absolute;margin-left:92.80001pt;margin-top:0.0pt;width:77.0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513A" w14:textId="77777777" w:rsidR="002C113C" w:rsidRDefault="002C113C">
      <w:pPr>
        <w:spacing w:line="240" w:lineRule="auto"/>
        <w:ind w:firstLine="640"/>
      </w:pPr>
      <w:r>
        <w:separator/>
      </w:r>
    </w:p>
  </w:footnote>
  <w:footnote w:type="continuationSeparator" w:id="0">
    <w:p w14:paraId="51796AE6" w14:textId="77777777" w:rsidR="002C113C" w:rsidRDefault="002C11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23A7" w14:textId="77777777" w:rsidR="00E56544" w:rsidRDefault="00E56544">
    <w:pPr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lvlRestart w:val="0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196849471">
    <w:abstractNumId w:val="2"/>
  </w:num>
  <w:num w:numId="2" w16cid:durableId="1565531769">
    <w:abstractNumId w:val="1"/>
  </w:num>
  <w:num w:numId="3" w16cid:durableId="2022314748">
    <w:abstractNumId w:val="4"/>
  </w:num>
  <w:num w:numId="4" w16cid:durableId="791636240">
    <w:abstractNumId w:val="3"/>
  </w:num>
  <w:num w:numId="5" w16cid:durableId="11170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E56544"/>
    <w:rsid w:val="002C113C"/>
    <w:rsid w:val="00B4105A"/>
    <w:rsid w:val="00D26CC3"/>
    <w:rsid w:val="00E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3CB2"/>
  <w15:docId w15:val="{7A1D5D61-1807-4B84-B624-63145EE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next w:val="a"/>
    <w:uiPriority w:val="9"/>
    <w:qFormat/>
    <w:pPr>
      <w:adjustRightInd w:val="0"/>
      <w:snapToGrid w:val="0"/>
      <w:spacing w:line="560" w:lineRule="exact"/>
      <w:ind w:firstLineChars="200" w:firstLine="200"/>
      <w:outlineLvl w:val="0"/>
    </w:pPr>
    <w:rPr>
      <w:rFonts w:ascii="黑体" w:eastAsia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cs="楷体_GB2312"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0"/>
    <w:rPr>
      <w:rFonts w:ascii="楷体_GB2312" w:eastAsia="楷体_GB2312" w:cs="楷体_GB2312"/>
      <w:bCs/>
      <w:kern w:val="2"/>
      <w:sz w:val="32"/>
      <w:szCs w:val="32"/>
      <w:lang w:val="en-US" w:eastAsia="zh-CN" w:bidi="ar-SA"/>
    </w:rPr>
  </w:style>
  <w:style w:type="paragraph" w:styleId="2">
    <w:name w:val="Body Text First Indent 2"/>
    <w:next w:val="a"/>
    <w:pPr>
      <w:spacing w:after="120" w:line="560" w:lineRule="exact"/>
      <w:ind w:leftChars="200" w:left="200"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endnote text"/>
    <w:basedOn w:val="a"/>
    <w:pPr>
      <w:jc w:val="left"/>
    </w:pPr>
  </w:style>
  <w:style w:type="paragraph" w:styleId="a7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cs="Times New Roman"/>
      <w:sz w:val="44"/>
    </w:rPr>
  </w:style>
  <w:style w:type="character" w:styleId="ab">
    <w:name w:val="Strong"/>
    <w:basedOn w:val="a0"/>
    <w:rPr>
      <w:b/>
      <w:bCs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BodyText">
    <w:name w:val="BodyText"/>
    <w:pPr>
      <w:widowControl w:val="0"/>
      <w:jc w:val="both"/>
      <w:textAlignment w:val="baseline"/>
    </w:pPr>
    <w:rPr>
      <w:rFonts w:ascii="Calibri" w:hAnsi="Calibri" w:cs="Arial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rPr>
      <w:caps w:val="0"/>
      <w:smallCaps/>
      <w:color w:val="C0504D"/>
      <w:u w:val="single"/>
    </w:rPr>
  </w:style>
  <w:style w:type="paragraph" w:customStyle="1" w:styleId="-11">
    <w:name w:val="彩色列表 - 着色 11"/>
    <w:basedOn w:val="a"/>
    <w:pPr>
      <w:spacing w:line="440" w:lineRule="exact"/>
    </w:pPr>
    <w:rPr>
      <w:rFonts w:ascii="Arial" w:hAnsi="Arial"/>
      <w:szCs w:val="24"/>
    </w:rPr>
  </w:style>
  <w:style w:type="paragraph" w:styleId="ad">
    <w:name w:val="List Paragraph"/>
    <w:basedOn w:val="a"/>
  </w:style>
  <w:style w:type="character" w:customStyle="1" w:styleId="10">
    <w:name w:val="未处理的提及1"/>
    <w:basedOn w:val="a0"/>
    <w:rPr>
      <w:color w:val="605E5C"/>
      <w:shd w:val="clear" w:color="auto" w:fill="E1DFDD"/>
    </w:rPr>
  </w:style>
  <w:style w:type="paragraph" w:customStyle="1" w:styleId="11">
    <w:name w:val="修订1"/>
    <w:rPr>
      <w:rFonts w:ascii="仿宋_GB2312" w:eastAsia="仿宋_GB2312" w:cs="宋体"/>
      <w:kern w:val="2"/>
      <w:sz w:val="32"/>
      <w:szCs w:val="22"/>
    </w:rPr>
  </w:style>
  <w:style w:type="paragraph" w:customStyle="1" w:styleId="23">
    <w:name w:val="修订2"/>
    <w:rPr>
      <w:rFonts w:ascii="仿宋_GB2312" w:eastAsia="仿宋_GB2312" w:cs="宋体"/>
      <w:kern w:val="2"/>
      <w:sz w:val="32"/>
      <w:szCs w:val="22"/>
    </w:rPr>
  </w:style>
  <w:style w:type="paragraph" w:customStyle="1" w:styleId="reader-word-layer">
    <w:name w:val="reader-word-layer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0">
    <w:name w:val="修订3"/>
    <w:rPr>
      <w:rFonts w:ascii="仿宋_GB2312" w:eastAsia="仿宋_GB2312" w:cs="宋体"/>
      <w:kern w:val="2"/>
      <w:sz w:val="32"/>
      <w:szCs w:val="22"/>
    </w:rPr>
  </w:style>
  <w:style w:type="paragraph" w:customStyle="1" w:styleId="ae">
    <w:name w:val="表格标题"/>
    <w:pPr>
      <w:spacing w:line="560" w:lineRule="exact"/>
      <w:jc w:val="center"/>
    </w:pPr>
    <w:rPr>
      <w:rFonts w:ascii="黑体" w:eastAsia="黑体" w:cs="仿宋_GB2312"/>
      <w:kern w:val="2"/>
      <w:sz w:val="24"/>
      <w:szCs w:val="32"/>
    </w:rPr>
  </w:style>
  <w:style w:type="paragraph" w:customStyle="1" w:styleId="af">
    <w:name w:val="表格内容"/>
    <w:basedOn w:val="22"/>
    <w:next w:val="a"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paragraph" w:customStyle="1" w:styleId="af0">
    <w:name w:val="四级标题"/>
    <w:basedOn w:val="4"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24">
    <w:name w:val="正文文本首行缩进 2 字符"/>
    <w:rPr>
      <w:rFonts w:ascii="仿宋_GB2312" w:eastAsia="仿宋_GB2312" w:cs="仿宋_GB2312"/>
      <w:kern w:val="2"/>
      <w:sz w:val="32"/>
      <w:szCs w:val="32"/>
    </w:rPr>
  </w:style>
  <w:style w:type="paragraph" w:customStyle="1" w:styleId="40">
    <w:name w:val="修订4"/>
    <w:rPr>
      <w:rFonts w:ascii="仿宋_GB2312" w:eastAsia="仿宋_GB2312" w:cs="仿宋_GB2312"/>
      <w:kern w:val="2"/>
      <w:sz w:val="32"/>
      <w:szCs w:val="32"/>
    </w:rPr>
  </w:style>
  <w:style w:type="paragraph" w:styleId="TOC1">
    <w:name w:val="toc 1"/>
    <w:basedOn w:val="a"/>
    <w:next w:val="a"/>
    <w:autoRedefine/>
  </w:style>
  <w:style w:type="paragraph" w:styleId="TOC2">
    <w:name w:val="toc 2"/>
    <w:basedOn w:val="a"/>
    <w:next w:val="a"/>
    <w:autoRedefine/>
    <w:pPr>
      <w:ind w:left="420"/>
    </w:pPr>
  </w:style>
  <w:style w:type="paragraph" w:styleId="TOC3">
    <w:name w:val="toc 3"/>
    <w:basedOn w:val="a"/>
    <w:next w:val="a"/>
    <w:autoRedefine/>
    <w:pPr>
      <w:ind w:left="840"/>
    </w:pPr>
  </w:style>
  <w:style w:type="paragraph" w:styleId="TOC4">
    <w:name w:val="toc 4"/>
    <w:basedOn w:val="a"/>
    <w:next w:val="a"/>
    <w:autoRedefine/>
    <w:pPr>
      <w:ind w:left="1260"/>
    </w:pPr>
  </w:style>
  <w:style w:type="paragraph" w:styleId="TOC5">
    <w:name w:val="toc 5"/>
    <w:basedOn w:val="a"/>
    <w:next w:val="a"/>
    <w:autoRedefine/>
    <w:pPr>
      <w:ind w:left="1680"/>
    </w:pPr>
  </w:style>
  <w:style w:type="paragraph" w:styleId="af1">
    <w:name w:val="Revision"/>
    <w:hidden/>
    <w:uiPriority w:val="99"/>
    <w:semiHidden/>
    <w:rsid w:val="00D26CC3"/>
    <w:rPr>
      <w:rFonts w:ascii="仿宋_GB2312" w:eastAsia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F5BF-6EDB-4C5B-A2DC-6FAD8230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QY L</cp:lastModifiedBy>
  <cp:revision>2</cp:revision>
  <cp:lastPrinted>2024-05-11T02:11:00Z</cp:lastPrinted>
  <dcterms:created xsi:type="dcterms:W3CDTF">2024-07-29T06:41:00Z</dcterms:created>
  <dcterms:modified xsi:type="dcterms:W3CDTF">2024-07-29T06:41:00Z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