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3A0F" w14:textId="1E274C6D" w:rsidR="008152F6" w:rsidRDefault="00000000">
      <w:pPr>
        <w:ind w:firstLineChars="0" w:firstLine="0"/>
        <w:outlineLvl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213917BC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26504950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71193682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6F4D1F1F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7CAFD8E0" w14:textId="77777777" w:rsidR="008152F6" w:rsidRDefault="00000000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XX子基金</w:t>
      </w:r>
    </w:p>
    <w:p w14:paraId="012009E2" w14:textId="77777777" w:rsidR="008152F6" w:rsidRDefault="00000000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申请方案</w:t>
      </w:r>
    </w:p>
    <w:p w14:paraId="4527C3FF" w14:textId="77777777" w:rsidR="008152F6" w:rsidRDefault="008152F6">
      <w:pPr>
        <w:ind w:firstLineChars="0" w:firstLine="0"/>
        <w:jc w:val="center"/>
        <w:rPr>
          <w:rFonts w:hAnsi="宋体" w:cs="Times New Roman" w:hint="eastAsia"/>
        </w:rPr>
      </w:pPr>
    </w:p>
    <w:p w14:paraId="2196DD83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33BCC1A8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6B5E266A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15F4AF4A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66F56A3F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6FF9CDD9" w14:textId="77777777" w:rsidR="008152F6" w:rsidRDefault="008152F6">
      <w:pPr>
        <w:ind w:firstLineChars="0" w:firstLine="0"/>
        <w:jc w:val="center"/>
        <w:rPr>
          <w:rFonts w:hAnsi="仿宋" w:cs="Times New Roman" w:hint="eastAsia"/>
        </w:rPr>
      </w:pPr>
    </w:p>
    <w:p w14:paraId="5D5AEB4D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仿宋" w:cs="Times New Roman" w:hint="eastAsia"/>
        </w:rPr>
      </w:pPr>
      <w:r>
        <w:rPr>
          <w:rFonts w:ascii="方正小标宋简体" w:eastAsia="方正小标宋简体" w:hAnsi="仿宋" w:cs="Times New Roman" w:hint="eastAsia"/>
        </w:rPr>
        <w:t>联系人：</w:t>
      </w:r>
    </w:p>
    <w:p w14:paraId="0401D15A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仿宋" w:cs="Times New Roman" w:hint="eastAsia"/>
        </w:rPr>
      </w:pPr>
      <w:r>
        <w:rPr>
          <w:rFonts w:ascii="方正小标宋简体" w:eastAsia="方正小标宋简体" w:hAnsi="仿宋" w:cs="Times New Roman" w:hint="eastAsia"/>
        </w:rPr>
        <w:t>联系电话：</w:t>
      </w:r>
    </w:p>
    <w:p w14:paraId="54C91E25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仿宋" w:cs="Times New Roman" w:hint="eastAsia"/>
        </w:rPr>
      </w:pPr>
      <w:r>
        <w:rPr>
          <w:rFonts w:ascii="方正小标宋简体" w:eastAsia="方正小标宋简体" w:hAnsi="仿宋" w:cs="Times New Roman" w:hint="eastAsia"/>
        </w:rPr>
        <w:t>邮箱：</w:t>
      </w:r>
    </w:p>
    <w:p w14:paraId="429650FA" w14:textId="77777777" w:rsidR="008152F6" w:rsidRDefault="008152F6">
      <w:pPr>
        <w:ind w:firstLineChars="295" w:firstLine="944"/>
        <w:jc w:val="center"/>
        <w:rPr>
          <w:rFonts w:ascii="方正小标宋简体" w:eastAsia="方正小标宋简体" w:hAnsi="宋体" w:cs="Times New Roman" w:hint="eastAsia"/>
        </w:rPr>
      </w:pPr>
    </w:p>
    <w:p w14:paraId="1BAD5100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宋体" w:cs="Times New Roman" w:hint="eastAsia"/>
        </w:rPr>
      </w:pPr>
      <w:r>
        <w:rPr>
          <w:rFonts w:ascii="方正小标宋简体" w:eastAsia="方正小标宋简体" w:hAnsi="宋体" w:cs="Times New Roman" w:hint="eastAsia"/>
        </w:rPr>
        <w:t>申请机构：</w:t>
      </w:r>
      <w:r>
        <w:rPr>
          <w:rFonts w:ascii="方正小标宋简体" w:eastAsia="方正小标宋简体" w:hAnsi="宋体" w:cs="Times New Roman"/>
        </w:rPr>
        <w:t>XXX公司（盖章）</w:t>
      </w:r>
    </w:p>
    <w:p w14:paraId="63094018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宋体" w:cs="Times New Roman" w:hint="eastAsia"/>
        </w:rPr>
      </w:pPr>
      <w:r>
        <w:rPr>
          <w:rFonts w:ascii="方正小标宋简体" w:eastAsia="方正小标宋简体" w:hAnsi="宋体" w:cs="Times New Roman"/>
        </w:rPr>
        <w:t>XXXX年XX月</w:t>
      </w:r>
    </w:p>
    <w:p w14:paraId="74ECC36A" w14:textId="77777777" w:rsidR="008152F6" w:rsidRDefault="008152F6">
      <w:pPr>
        <w:ind w:firstLineChars="0" w:firstLine="0"/>
        <w:outlineLvl w:val="0"/>
        <w:rPr>
          <w:rFonts w:ascii="黑体" w:eastAsia="黑体" w:hAnsi="黑体" w:cs="Times New Roman" w:hint="eastAsia"/>
        </w:rPr>
      </w:pPr>
    </w:p>
    <w:p w14:paraId="3A11AC86" w14:textId="77777777" w:rsidR="008152F6" w:rsidRDefault="008152F6">
      <w:pPr>
        <w:ind w:firstLineChars="0" w:firstLine="0"/>
        <w:outlineLvl w:val="0"/>
        <w:rPr>
          <w:rFonts w:ascii="黑体" w:eastAsia="黑体" w:hAnsi="黑体" w:cs="Times New Roman" w:hint="eastAsia"/>
        </w:rPr>
      </w:pPr>
    </w:p>
    <w:p w14:paraId="531463A0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lastRenderedPageBreak/>
        <w:t>一、基金设立背景与行业分析</w:t>
      </w:r>
    </w:p>
    <w:p w14:paraId="503ECDE3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t>二、基金概况</w:t>
      </w:r>
    </w:p>
    <w:p w14:paraId="146D525D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（一）基金名称</w:t>
      </w:r>
    </w:p>
    <w:p w14:paraId="40FD658B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（二）基金管理机构</w:t>
      </w:r>
    </w:p>
    <w:p w14:paraId="542D6255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（三）基金注册地址</w:t>
      </w:r>
    </w:p>
    <w:p w14:paraId="6C2232BD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（四）基金规模</w:t>
      </w:r>
    </w:p>
    <w:p w14:paraId="77017105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（五）存续期限（须注明投资期和退出期）</w:t>
      </w:r>
    </w:p>
    <w:p w14:paraId="0D59D078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（六）基金组织形式及类型</w:t>
      </w:r>
    </w:p>
    <w:p w14:paraId="499F449D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（七）申请中原</w:t>
      </w:r>
      <w:proofErr w:type="gramStart"/>
      <w:r>
        <w:rPr>
          <w:rFonts w:hint="eastAsia"/>
        </w:rPr>
        <w:t>科创母基金</w:t>
      </w:r>
      <w:proofErr w:type="gramEnd"/>
      <w:r>
        <w:rPr>
          <w:rFonts w:hint="eastAsia"/>
        </w:rPr>
        <w:t>出资额及比例</w:t>
      </w:r>
    </w:p>
    <w:p w14:paraId="7E181DA3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（八）基金投资领域（须注明具体行业）</w:t>
      </w:r>
    </w:p>
    <w:p w14:paraId="7E35F7EA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（九）基金投资标的</w:t>
      </w:r>
    </w:p>
    <w:p w14:paraId="7774B607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（十）基金投资地域</w:t>
      </w:r>
    </w:p>
    <w:p w14:paraId="53782BA5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（十一）基金投资限额</w:t>
      </w:r>
    </w:p>
    <w:p w14:paraId="442F3195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（十二）管理费用（须注明计算基数和费率）</w:t>
      </w:r>
    </w:p>
    <w:p w14:paraId="618DF665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（十三）收益分配</w:t>
      </w:r>
    </w:p>
    <w:p w14:paraId="1E3275A8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t>三、基金出资人</w:t>
      </w:r>
    </w:p>
    <w:p w14:paraId="10D87644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（一）基金出资架构：</w:t>
      </w:r>
      <w:r>
        <w:rPr>
          <w:rFonts w:hAnsi="宋体" w:cs="Times New Roman" w:hint="eastAsia"/>
        </w:rPr>
        <w:t>以表格形式列出已基本确定的出资人类型、出资人名称、认缴出资金额、出资比例等情况，以及剩余资金的募集计划及时间安排。</w:t>
      </w:r>
    </w:p>
    <w:p w14:paraId="5B3DC613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（二）出资人介绍：</w:t>
      </w:r>
      <w:r>
        <w:rPr>
          <w:rFonts w:hAnsi="宋体" w:cs="Times New Roman" w:hint="eastAsia"/>
        </w:rPr>
        <w:t>按顺序依次介绍基石投资人和其它出资人（机构或个人）的概况，如出资涉及监管部门监管或审批，需说明相关监管事项和对审批时间的预估。</w:t>
      </w:r>
    </w:p>
    <w:p w14:paraId="6BE4A9A8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lastRenderedPageBreak/>
        <w:t>四、基金管理机构和团队</w:t>
      </w:r>
    </w:p>
    <w:p w14:paraId="3E4D7B4E" w14:textId="77777777" w:rsidR="008152F6" w:rsidRDefault="00000000">
      <w:pPr>
        <w:pStyle w:val="20"/>
        <w:ind w:firstLine="640"/>
        <w:rPr>
          <w:rFonts w:hint="eastAsia"/>
        </w:rPr>
      </w:pPr>
      <w:r>
        <w:rPr>
          <w:rFonts w:hint="eastAsia"/>
        </w:rPr>
        <w:t>（一）基金管理机构</w:t>
      </w:r>
    </w:p>
    <w:p w14:paraId="3D80411E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1.基金管理机构工商注册信息、</w:t>
      </w:r>
      <w:bookmarkStart w:id="0" w:name="_Hlk31973876"/>
      <w:r>
        <w:rPr>
          <w:rFonts w:hAnsi="宋体" w:cs="Times New Roman"/>
        </w:rPr>
        <w:t>注册资本与实收资本</w:t>
      </w:r>
      <w:bookmarkEnd w:id="0"/>
      <w:r>
        <w:rPr>
          <w:rFonts w:hAnsi="宋体" w:cs="Times New Roman"/>
        </w:rPr>
        <w:t>、历史</w:t>
      </w:r>
      <w:r>
        <w:rPr>
          <w:rFonts w:hAnsi="宋体" w:cs="Times New Roman" w:hint="eastAsia"/>
        </w:rPr>
        <w:t>沿革等；</w:t>
      </w:r>
    </w:p>
    <w:p w14:paraId="7C4EF74F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2.</w:t>
      </w:r>
      <w:bookmarkStart w:id="1" w:name="_Hlk31973803"/>
      <w:r>
        <w:rPr>
          <w:rFonts w:hAnsi="宋体" w:cs="Times New Roman"/>
        </w:rPr>
        <w:t>股权结构、实际控制人：图表配合文字详细说明</w:t>
      </w:r>
      <w:bookmarkEnd w:id="1"/>
      <w:r>
        <w:rPr>
          <w:rFonts w:hAnsi="宋体" w:cs="Times New Roman" w:hint="eastAsia"/>
        </w:rPr>
        <w:t>；</w:t>
      </w:r>
    </w:p>
    <w:p w14:paraId="7C72829D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3.内部治理架构：</w:t>
      </w:r>
      <w:r>
        <w:rPr>
          <w:rFonts w:hAnsi="仿宋" w:cs="Times New Roman" w:hint="eastAsia"/>
        </w:rPr>
        <w:t>管理和投资运作规范，具有完整的投资决策程序、全面的风险控制机制和健全的财务管理制度；</w:t>
      </w:r>
    </w:p>
    <w:p w14:paraId="5009B70C" w14:textId="77777777" w:rsidR="00314FB2" w:rsidRDefault="00000000" w:rsidP="00314FB2">
      <w:pPr>
        <w:ind w:firstLine="640"/>
        <w:outlineLvl w:val="0"/>
        <w:rPr>
          <w:rFonts w:hAnsi="宋体" w:cs="Times New Roman" w:hint="eastAsia"/>
        </w:rPr>
      </w:pPr>
      <w:bookmarkStart w:id="2" w:name="_Hlk31979876"/>
      <w:r>
        <w:rPr>
          <w:rFonts w:hAnsi="宋体" w:cs="Times New Roman"/>
        </w:rPr>
        <w:t>4.管理机构全体成员列表：图表配合文字详细说明，全体成员列表应</w:t>
      </w:r>
      <w:bookmarkStart w:id="3" w:name="_Hlk31975984"/>
      <w:r>
        <w:rPr>
          <w:rFonts w:hAnsi="宋体" w:cs="Times New Roman"/>
        </w:rPr>
        <w:t>包括</w:t>
      </w:r>
      <w:bookmarkStart w:id="4" w:name="_Hlk31972247"/>
      <w:bookmarkStart w:id="5" w:name="_Hlk31975846"/>
      <w:r>
        <w:rPr>
          <w:rFonts w:hAnsi="宋体" w:cs="Times New Roman" w:hint="eastAsia"/>
        </w:rPr>
        <w:t>但不限于</w:t>
      </w:r>
      <w:bookmarkEnd w:id="4"/>
      <w:r>
        <w:rPr>
          <w:rFonts w:hAnsi="宋体" w:cs="Times New Roman"/>
        </w:rPr>
        <w:t>姓名、职务、年龄、</w:t>
      </w:r>
      <w:r>
        <w:rPr>
          <w:rFonts w:hAnsi="宋体" w:cs="Times New Roman" w:hint="eastAsia"/>
        </w:rPr>
        <w:t>教育背景</w:t>
      </w:r>
      <w:r>
        <w:rPr>
          <w:rFonts w:hAnsi="宋体" w:cs="Times New Roman"/>
        </w:rPr>
        <w:t>、</w:t>
      </w:r>
      <w:r>
        <w:rPr>
          <w:rFonts w:hAnsi="宋体" w:cs="Times New Roman" w:hint="eastAsia"/>
        </w:rPr>
        <w:t>职业经历、</w:t>
      </w:r>
      <w:r>
        <w:rPr>
          <w:rFonts w:hAnsi="宋体" w:cs="Times New Roman"/>
        </w:rPr>
        <w:t>加入团队时间、</w:t>
      </w:r>
      <w:r>
        <w:rPr>
          <w:rFonts w:hAnsi="宋体" w:cs="Times New Roman" w:hint="eastAsia"/>
        </w:rPr>
        <w:t>职责</w:t>
      </w:r>
      <w:r>
        <w:rPr>
          <w:rFonts w:hAnsi="宋体" w:cs="Times New Roman"/>
        </w:rPr>
        <w:t>分工情况、共同合作经历</w:t>
      </w:r>
      <w:r>
        <w:rPr>
          <w:rFonts w:hAnsi="宋体" w:cs="Times New Roman" w:hint="eastAsia"/>
        </w:rPr>
        <w:t>、</w:t>
      </w:r>
      <w:r>
        <w:rPr>
          <w:rFonts w:hAnsi="仿宋" w:cs="Times New Roman"/>
        </w:rPr>
        <w:t>常驻</w:t>
      </w:r>
      <w:r>
        <w:rPr>
          <w:rFonts w:hAnsi="仿宋" w:cs="Times New Roman" w:hint="eastAsia"/>
        </w:rPr>
        <w:t>郑东新区办公情况、所获荣誉、代表案例</w:t>
      </w:r>
      <w:r>
        <w:rPr>
          <w:rFonts w:hAnsi="宋体" w:cs="Times New Roman"/>
        </w:rPr>
        <w:t>等内容</w:t>
      </w:r>
      <w:bookmarkEnd w:id="2"/>
      <w:bookmarkEnd w:id="3"/>
      <w:bookmarkEnd w:id="5"/>
      <w:r>
        <w:rPr>
          <w:rFonts w:hAnsi="宋体" w:cs="Times New Roman" w:hint="eastAsia"/>
        </w:rPr>
        <w:t>；</w:t>
      </w:r>
    </w:p>
    <w:p w14:paraId="1FC0247F" w14:textId="77777777" w:rsidR="00314FB2" w:rsidRPr="00314FB2" w:rsidRDefault="00314FB2" w:rsidP="00314FB2">
      <w:pPr>
        <w:ind w:firstLine="640"/>
        <w:outlineLvl w:val="0"/>
        <w:rPr>
          <w:rFonts w:hAnsi="宋体" w:cs="Times New Roman" w:hint="eastAsia"/>
        </w:rPr>
      </w:pPr>
      <w:r w:rsidRPr="00314FB2">
        <w:rPr>
          <w:rFonts w:hAnsi="宋体" w:cs="Times New Roman"/>
        </w:rPr>
        <w:t>5.</w:t>
      </w:r>
      <w:proofErr w:type="gramStart"/>
      <w:r w:rsidRPr="00314FB2">
        <w:rPr>
          <w:rFonts w:hAnsi="宋体" w:cs="Times New Roman"/>
        </w:rPr>
        <w:t>子基金</w:t>
      </w:r>
      <w:proofErr w:type="gramEnd"/>
      <w:r w:rsidRPr="00314FB2">
        <w:rPr>
          <w:rFonts w:hAnsi="宋体" w:cs="Times New Roman"/>
        </w:rPr>
        <w:t>管理机构需提供以下内容：</w:t>
      </w:r>
    </w:p>
    <w:p w14:paraId="2944ED83" w14:textId="77777777" w:rsidR="00314FB2" w:rsidRPr="00314FB2" w:rsidRDefault="00314FB2" w:rsidP="00314FB2">
      <w:pPr>
        <w:ind w:firstLine="640"/>
        <w:outlineLvl w:val="0"/>
        <w:rPr>
          <w:rFonts w:hAnsi="宋体" w:cs="Times New Roman" w:hint="eastAsia"/>
        </w:rPr>
      </w:pPr>
      <w:r w:rsidRPr="00314FB2">
        <w:rPr>
          <w:rFonts w:hAnsi="宋体" w:cs="Times New Roman" w:hint="eastAsia"/>
        </w:rPr>
        <w:t>管理机构或管理团队主要成员以骨干身份过往累计管理基金情况（创投子基金管理机构应提供不少于</w:t>
      </w:r>
      <w:r>
        <w:rPr>
          <w:rFonts w:hAnsi="宋体" w:cs="Times New Roman" w:hint="eastAsia"/>
        </w:rPr>
        <w:t>3</w:t>
      </w:r>
      <w:r w:rsidRPr="00314FB2">
        <w:rPr>
          <w:rFonts w:hAnsi="宋体" w:cs="Times New Roman" w:hint="eastAsia"/>
        </w:rPr>
        <w:t>个成功创投案例，天使</w:t>
      </w:r>
      <w:proofErr w:type="gramStart"/>
      <w:r w:rsidRPr="00314FB2">
        <w:rPr>
          <w:rFonts w:hAnsi="宋体" w:cs="Times New Roman" w:hint="eastAsia"/>
        </w:rPr>
        <w:t>子基金</w:t>
      </w:r>
      <w:proofErr w:type="gramEnd"/>
      <w:r w:rsidRPr="00314FB2">
        <w:rPr>
          <w:rFonts w:hAnsi="宋体" w:cs="Times New Roman" w:hint="eastAsia"/>
        </w:rPr>
        <w:t>管理机构应提供不少于</w:t>
      </w:r>
      <w:r>
        <w:rPr>
          <w:rFonts w:hAnsi="宋体" w:cs="Times New Roman" w:hint="eastAsia"/>
        </w:rPr>
        <w:t>3</w:t>
      </w:r>
      <w:r w:rsidRPr="00314FB2">
        <w:rPr>
          <w:rFonts w:hAnsi="宋体" w:cs="Times New Roman" w:hint="eastAsia"/>
        </w:rPr>
        <w:t>个成功天使投资案例</w:t>
      </w:r>
      <w:r w:rsidRPr="00314FB2">
        <w:rPr>
          <w:rFonts w:hAnsi="宋体" w:cs="Times New Roman"/>
        </w:rPr>
        <w:t>）</w:t>
      </w:r>
      <w:r w:rsidRPr="00314FB2">
        <w:rPr>
          <w:rFonts w:hAnsi="宋体" w:cs="Times New Roman" w:hint="eastAsia"/>
        </w:rPr>
        <w:t>。对管理基金作以下详细说明，包括但不限于：基金名称、注册地、基金规模、实缴资本、投资领域、投资阶段、投资项目数量及金额、退出项目数量及金额、退出方式，以及本基金相对于其他基金的独立性说明；</w:t>
      </w:r>
    </w:p>
    <w:p w14:paraId="5458781B" w14:textId="77777777" w:rsidR="008152F6" w:rsidRDefault="00000000" w:rsidP="009B6A2B">
      <w:pPr>
        <w:ind w:firstLine="640"/>
        <w:outlineLvl w:val="0"/>
        <w:rPr>
          <w:rFonts w:hint="eastAsia"/>
        </w:rPr>
      </w:pPr>
      <w:r>
        <w:rPr>
          <w:rFonts w:hint="eastAsia"/>
        </w:rPr>
        <w:t>（二）基金管理团队</w:t>
      </w:r>
    </w:p>
    <w:p w14:paraId="61048284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1.按顺序依次阐述本基金主要管理人员详细资料及履历、管理各类基金情况、主要项目投资案例及参与程度</w:t>
      </w:r>
      <w:r>
        <w:rPr>
          <w:rFonts w:hAnsi="宋体" w:cs="Times New Roman" w:hint="eastAsia"/>
        </w:rPr>
        <w:t>；</w:t>
      </w:r>
    </w:p>
    <w:p w14:paraId="050FF293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lastRenderedPageBreak/>
        <w:t>2.提供主要管理人员之间的合作经历</w:t>
      </w:r>
      <w:r>
        <w:rPr>
          <w:rFonts w:hAnsi="宋体" w:cs="Times New Roman" w:hint="eastAsia"/>
        </w:rPr>
        <w:t>；</w:t>
      </w:r>
    </w:p>
    <w:p w14:paraId="4FD9A51A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3.管理团队投资项目列表，详细列出全部已投资项目名称、投资时间、投资金额、初始股权比例、退出金额、目前持有价值、团队主要成员参与角色等</w:t>
      </w:r>
      <w:r>
        <w:rPr>
          <w:rFonts w:hAnsi="宋体" w:cs="Times New Roman" w:hint="eastAsia"/>
        </w:rPr>
        <w:t>；</w:t>
      </w:r>
    </w:p>
    <w:p w14:paraId="6B9FBD05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/>
        </w:rPr>
        <w:t>4.基金关键人安排</w:t>
      </w:r>
      <w:r>
        <w:rPr>
          <w:rFonts w:hAnsi="宋体" w:cs="Times New Roman" w:hint="eastAsia"/>
        </w:rPr>
        <w:t>；</w:t>
      </w:r>
    </w:p>
    <w:p w14:paraId="6A235C34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t>五、基金管理和运行</w:t>
      </w:r>
    </w:p>
    <w:p w14:paraId="69952C9A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（一）基金治理架构：</w:t>
      </w:r>
      <w:r>
        <w:rPr>
          <w:rFonts w:hAnsi="宋体" w:cs="Times New Roman" w:hint="eastAsia"/>
        </w:rPr>
        <w:t>基金股东会与董事会、合伙人会议与投资决策委员会、咨询委员会（如有）权责划分。</w:t>
      </w:r>
    </w:p>
    <w:p w14:paraId="1ADCF780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（二）基金投资策略：</w:t>
      </w:r>
      <w:r>
        <w:rPr>
          <w:rFonts w:hAnsi="宋体" w:cs="Times New Roman" w:hint="eastAsia"/>
        </w:rPr>
        <w:t>主要说明投资领域、阶段、地域、限制、闲置资金使用等。</w:t>
      </w:r>
    </w:p>
    <w:p w14:paraId="2A0F9E07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（三）项目遴选程序：</w:t>
      </w:r>
      <w:r>
        <w:rPr>
          <w:rFonts w:hAnsi="宋体" w:cs="Times New Roman" w:hint="eastAsia"/>
        </w:rPr>
        <w:t>结合基金投资方向及团队构成特点，说明项目来源、项目遴选程序。</w:t>
      </w:r>
    </w:p>
    <w:p w14:paraId="342E32AF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（四）投资决策机制：</w:t>
      </w:r>
      <w:r>
        <w:rPr>
          <w:rFonts w:hAnsi="宋体" w:cs="Times New Roman" w:hint="eastAsia"/>
        </w:rPr>
        <w:t>应详细说明投资决策机构、组成、决策方式、程序、表决机制、关联交易处理方式、中原</w:t>
      </w:r>
      <w:proofErr w:type="gramStart"/>
      <w:r>
        <w:rPr>
          <w:rFonts w:hAnsi="宋体" w:cs="Times New Roman" w:hint="eastAsia"/>
        </w:rPr>
        <w:t>科创母基金</w:t>
      </w:r>
      <w:proofErr w:type="gramEnd"/>
      <w:r>
        <w:rPr>
          <w:rFonts w:hAnsi="宋体" w:cs="Times New Roman" w:hint="eastAsia"/>
        </w:rPr>
        <w:t>相关权益的特别约定等。</w:t>
      </w:r>
    </w:p>
    <w:p w14:paraId="6B5B29A1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（五）增值服务：</w:t>
      </w:r>
      <w:r>
        <w:rPr>
          <w:rFonts w:hAnsi="宋体" w:cs="Times New Roman"/>
        </w:rPr>
        <w:t>结合基金投资方向及团队构成特点，详细说明所能提供的增值服务，并举例说明。</w:t>
      </w:r>
    </w:p>
    <w:p w14:paraId="2358FF53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（六）风险防范：</w:t>
      </w:r>
      <w:r>
        <w:rPr>
          <w:rFonts w:hAnsi="宋体" w:cs="Times New Roman" w:hint="eastAsia"/>
        </w:rPr>
        <w:t>结合基金投资方向及团队构成特点，列出本基金可能出现的风险，并对可能出现的风险提出应对措施。</w:t>
      </w:r>
    </w:p>
    <w:p w14:paraId="2847D41E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Style w:val="21"/>
          <w:rFonts w:hint="eastAsia"/>
        </w:rPr>
        <w:t>（七）投资退出：</w:t>
      </w:r>
      <w:r>
        <w:rPr>
          <w:rFonts w:hAnsi="宋体" w:cs="Times New Roman" w:hint="eastAsia"/>
        </w:rPr>
        <w:t>结合基金投资方向及团队构成特点说明退出策略。</w:t>
      </w:r>
    </w:p>
    <w:p w14:paraId="66A148E1" w14:textId="77777777" w:rsidR="008152F6" w:rsidRDefault="00000000">
      <w:pPr>
        <w:ind w:firstLine="640"/>
        <w:outlineLvl w:val="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t>六、项目储备情况</w:t>
      </w:r>
    </w:p>
    <w:p w14:paraId="5475D29A" w14:textId="77777777" w:rsidR="008152F6" w:rsidRDefault="00000000">
      <w:pPr>
        <w:ind w:firstLine="640"/>
        <w:outlineLvl w:val="0"/>
        <w:rPr>
          <w:rFonts w:hAnsi="宋体" w:cs="Times New Roman" w:hint="eastAsia"/>
        </w:rPr>
      </w:pPr>
      <w:r>
        <w:rPr>
          <w:rFonts w:hAnsi="宋体" w:cs="Times New Roman" w:hint="eastAsia"/>
        </w:rPr>
        <w:lastRenderedPageBreak/>
        <w:t>应包含项目简称、项目成立时间、项目领域、企业人数、企业总资产和年销售收入、项目简介和亮点、项目创始团队情况、计划投资金额、投资轮次等信息。</w:t>
      </w:r>
    </w:p>
    <w:p w14:paraId="471D493E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498FAD8F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28021F37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747459C5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2EA4BDC6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01111B4B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0850AEDE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1A512AFB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36EAA43B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62AB40BD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5EDF77F6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3E0A0863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21F086A6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236A4920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3F841AA8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49FF6431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65B37860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311DED24" w14:textId="77777777" w:rsidR="000C2A38" w:rsidRDefault="000C2A38">
      <w:pPr>
        <w:pStyle w:val="a4"/>
        <w:ind w:firstLineChars="0" w:firstLine="0"/>
        <w:rPr>
          <w:rFonts w:hint="eastAsia"/>
        </w:rPr>
      </w:pPr>
    </w:p>
    <w:p w14:paraId="641F57FD" w14:textId="77777777" w:rsidR="000C2A38" w:rsidRDefault="000C2A38">
      <w:pPr>
        <w:pStyle w:val="a4"/>
        <w:ind w:firstLineChars="0" w:firstLine="0"/>
        <w:rPr>
          <w:rFonts w:hint="eastAsia"/>
        </w:rPr>
      </w:pPr>
    </w:p>
    <w:sectPr w:rsidR="000C2A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0408" w14:textId="77777777" w:rsidR="00494969" w:rsidRDefault="00494969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4E73E3CC" w14:textId="77777777" w:rsidR="00494969" w:rsidRDefault="00494969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1A08" w14:textId="77777777" w:rsidR="008152F6" w:rsidRDefault="008152F6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549" w14:textId="77777777" w:rsidR="008152F6" w:rsidRDefault="00000000">
    <w:pPr>
      <w:pStyle w:val="a8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AE4CA" wp14:editId="0717CF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291A6" w14:textId="77777777" w:rsidR="008152F6" w:rsidRDefault="00000000">
                          <w:pPr>
                            <w:pStyle w:val="a8"/>
                            <w:ind w:firstLine="560"/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8152F6" w:rsidRDefault="00000000">
                    <w:pPr>
                      <w:pStyle w:val="a8"/>
                      <w:ind w:firstLine="56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D01E" w14:textId="77777777" w:rsidR="008152F6" w:rsidRDefault="008152F6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2CF0" w14:textId="77777777" w:rsidR="00494969" w:rsidRDefault="00494969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3FE14AB0" w14:textId="77777777" w:rsidR="00494969" w:rsidRDefault="00494969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CCAA" w14:textId="77777777" w:rsidR="008152F6" w:rsidRDefault="008152F6">
    <w:pPr>
      <w:pStyle w:val="aa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75B1" w14:textId="77777777" w:rsidR="008152F6" w:rsidRDefault="008152F6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7706" w14:textId="77777777" w:rsidR="008152F6" w:rsidRDefault="008152F6">
    <w:pPr>
      <w:pStyle w:val="aa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16017782">
    <w:abstractNumId w:val="2"/>
  </w:num>
  <w:num w:numId="2" w16cid:durableId="974337747">
    <w:abstractNumId w:val="1"/>
  </w:num>
  <w:num w:numId="3" w16cid:durableId="1540161884">
    <w:abstractNumId w:val="4"/>
  </w:num>
  <w:num w:numId="4" w16cid:durableId="956063691">
    <w:abstractNumId w:val="3"/>
  </w:num>
  <w:num w:numId="5" w16cid:durableId="1918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172A27"/>
    <w:rsid w:val="0000053C"/>
    <w:rsid w:val="00010B91"/>
    <w:rsid w:val="000228D6"/>
    <w:rsid w:val="00022C28"/>
    <w:rsid w:val="00022EC2"/>
    <w:rsid w:val="000273BB"/>
    <w:rsid w:val="00032D23"/>
    <w:rsid w:val="00045B8D"/>
    <w:rsid w:val="00046A53"/>
    <w:rsid w:val="000575CD"/>
    <w:rsid w:val="0006398B"/>
    <w:rsid w:val="000642A7"/>
    <w:rsid w:val="000B11FE"/>
    <w:rsid w:val="000C2A38"/>
    <w:rsid w:val="000C766A"/>
    <w:rsid w:val="000E100A"/>
    <w:rsid w:val="000F73D2"/>
    <w:rsid w:val="001007C8"/>
    <w:rsid w:val="00100A18"/>
    <w:rsid w:val="00111448"/>
    <w:rsid w:val="0011171E"/>
    <w:rsid w:val="001136F5"/>
    <w:rsid w:val="00172562"/>
    <w:rsid w:val="00172A27"/>
    <w:rsid w:val="00190C23"/>
    <w:rsid w:val="001B0510"/>
    <w:rsid w:val="001B286C"/>
    <w:rsid w:val="001B2E39"/>
    <w:rsid w:val="001B742A"/>
    <w:rsid w:val="001B76BC"/>
    <w:rsid w:val="001C246E"/>
    <w:rsid w:val="001C63BD"/>
    <w:rsid w:val="001C6463"/>
    <w:rsid w:val="001D11AF"/>
    <w:rsid w:val="001D264F"/>
    <w:rsid w:val="001D3E20"/>
    <w:rsid w:val="001E1650"/>
    <w:rsid w:val="0021559B"/>
    <w:rsid w:val="002264B0"/>
    <w:rsid w:val="00230FE7"/>
    <w:rsid w:val="00240EF3"/>
    <w:rsid w:val="00245DCA"/>
    <w:rsid w:val="00252C94"/>
    <w:rsid w:val="00253695"/>
    <w:rsid w:val="00255D85"/>
    <w:rsid w:val="0027052D"/>
    <w:rsid w:val="0027585D"/>
    <w:rsid w:val="00284CF1"/>
    <w:rsid w:val="00286C0A"/>
    <w:rsid w:val="00290409"/>
    <w:rsid w:val="00292D0A"/>
    <w:rsid w:val="00296CD2"/>
    <w:rsid w:val="002A0A13"/>
    <w:rsid w:val="002A0FE5"/>
    <w:rsid w:val="002B71FA"/>
    <w:rsid w:val="002C379A"/>
    <w:rsid w:val="002C37D3"/>
    <w:rsid w:val="00302982"/>
    <w:rsid w:val="00310071"/>
    <w:rsid w:val="00310AF2"/>
    <w:rsid w:val="00312AFE"/>
    <w:rsid w:val="00313F2F"/>
    <w:rsid w:val="00314B98"/>
    <w:rsid w:val="00314FB2"/>
    <w:rsid w:val="00317B58"/>
    <w:rsid w:val="003202E2"/>
    <w:rsid w:val="00321F10"/>
    <w:rsid w:val="00331EF5"/>
    <w:rsid w:val="0034138C"/>
    <w:rsid w:val="003559EA"/>
    <w:rsid w:val="003604F6"/>
    <w:rsid w:val="003639BA"/>
    <w:rsid w:val="00367B77"/>
    <w:rsid w:val="00373CC8"/>
    <w:rsid w:val="00376819"/>
    <w:rsid w:val="00380922"/>
    <w:rsid w:val="00396B9F"/>
    <w:rsid w:val="003A143A"/>
    <w:rsid w:val="003B6213"/>
    <w:rsid w:val="003C5B8D"/>
    <w:rsid w:val="004061B6"/>
    <w:rsid w:val="004066B3"/>
    <w:rsid w:val="00413663"/>
    <w:rsid w:val="00424EA3"/>
    <w:rsid w:val="004257B6"/>
    <w:rsid w:val="00427DE5"/>
    <w:rsid w:val="0043079F"/>
    <w:rsid w:val="00456005"/>
    <w:rsid w:val="00464CEC"/>
    <w:rsid w:val="00492CF3"/>
    <w:rsid w:val="004931F0"/>
    <w:rsid w:val="00494969"/>
    <w:rsid w:val="004B7F71"/>
    <w:rsid w:val="00500DAE"/>
    <w:rsid w:val="00506DD9"/>
    <w:rsid w:val="00510262"/>
    <w:rsid w:val="0051628B"/>
    <w:rsid w:val="005268B9"/>
    <w:rsid w:val="00530721"/>
    <w:rsid w:val="005405CB"/>
    <w:rsid w:val="005469E0"/>
    <w:rsid w:val="00561311"/>
    <w:rsid w:val="00572C8E"/>
    <w:rsid w:val="00580576"/>
    <w:rsid w:val="0059440A"/>
    <w:rsid w:val="005A6EF6"/>
    <w:rsid w:val="005A7C0D"/>
    <w:rsid w:val="005C3122"/>
    <w:rsid w:val="005D3584"/>
    <w:rsid w:val="005D4BB9"/>
    <w:rsid w:val="005D52AD"/>
    <w:rsid w:val="005E58DD"/>
    <w:rsid w:val="005E75E1"/>
    <w:rsid w:val="005F09A1"/>
    <w:rsid w:val="005F45C0"/>
    <w:rsid w:val="00614D71"/>
    <w:rsid w:val="0063707F"/>
    <w:rsid w:val="0064095E"/>
    <w:rsid w:val="00646AD5"/>
    <w:rsid w:val="00660CFB"/>
    <w:rsid w:val="006635B4"/>
    <w:rsid w:val="0066581C"/>
    <w:rsid w:val="006668C9"/>
    <w:rsid w:val="006876CB"/>
    <w:rsid w:val="006878AD"/>
    <w:rsid w:val="006A0D94"/>
    <w:rsid w:val="006A4EEE"/>
    <w:rsid w:val="006B047F"/>
    <w:rsid w:val="006B453F"/>
    <w:rsid w:val="006C0643"/>
    <w:rsid w:val="00712044"/>
    <w:rsid w:val="0071743C"/>
    <w:rsid w:val="007309B7"/>
    <w:rsid w:val="00733D59"/>
    <w:rsid w:val="00745EE5"/>
    <w:rsid w:val="00751A51"/>
    <w:rsid w:val="00761F69"/>
    <w:rsid w:val="0076527E"/>
    <w:rsid w:val="007728FD"/>
    <w:rsid w:val="007855B8"/>
    <w:rsid w:val="007952A1"/>
    <w:rsid w:val="007A4794"/>
    <w:rsid w:val="007C2425"/>
    <w:rsid w:val="007C72E6"/>
    <w:rsid w:val="007E580D"/>
    <w:rsid w:val="007F7A1C"/>
    <w:rsid w:val="008102B0"/>
    <w:rsid w:val="008152F6"/>
    <w:rsid w:val="008249E5"/>
    <w:rsid w:val="00824B4C"/>
    <w:rsid w:val="00830086"/>
    <w:rsid w:val="00834663"/>
    <w:rsid w:val="00842E10"/>
    <w:rsid w:val="00870EF4"/>
    <w:rsid w:val="00873C5D"/>
    <w:rsid w:val="00880F49"/>
    <w:rsid w:val="0089108E"/>
    <w:rsid w:val="008A7115"/>
    <w:rsid w:val="008B0614"/>
    <w:rsid w:val="008B64E2"/>
    <w:rsid w:val="008D1F3B"/>
    <w:rsid w:val="008D43C6"/>
    <w:rsid w:val="008E2C2F"/>
    <w:rsid w:val="009007C7"/>
    <w:rsid w:val="009010CF"/>
    <w:rsid w:val="00914409"/>
    <w:rsid w:val="00917EFA"/>
    <w:rsid w:val="00920BC9"/>
    <w:rsid w:val="009311D3"/>
    <w:rsid w:val="00937420"/>
    <w:rsid w:val="00962567"/>
    <w:rsid w:val="009A4C2A"/>
    <w:rsid w:val="009B19DA"/>
    <w:rsid w:val="009B2FA7"/>
    <w:rsid w:val="009B5EE3"/>
    <w:rsid w:val="009B6A2B"/>
    <w:rsid w:val="009B7B06"/>
    <w:rsid w:val="009C4840"/>
    <w:rsid w:val="009E1785"/>
    <w:rsid w:val="009F3874"/>
    <w:rsid w:val="00A07AB0"/>
    <w:rsid w:val="00A10903"/>
    <w:rsid w:val="00A21629"/>
    <w:rsid w:val="00A26A69"/>
    <w:rsid w:val="00A313B2"/>
    <w:rsid w:val="00A51D57"/>
    <w:rsid w:val="00A6072C"/>
    <w:rsid w:val="00A649D4"/>
    <w:rsid w:val="00A65A13"/>
    <w:rsid w:val="00A67438"/>
    <w:rsid w:val="00A77CCC"/>
    <w:rsid w:val="00A938AC"/>
    <w:rsid w:val="00AA27E2"/>
    <w:rsid w:val="00AB105E"/>
    <w:rsid w:val="00AC3DE6"/>
    <w:rsid w:val="00AC49D8"/>
    <w:rsid w:val="00AC6D5E"/>
    <w:rsid w:val="00AD1EDF"/>
    <w:rsid w:val="00AD1F38"/>
    <w:rsid w:val="00AD3A04"/>
    <w:rsid w:val="00AD3CE5"/>
    <w:rsid w:val="00AD7FAA"/>
    <w:rsid w:val="00AE3F85"/>
    <w:rsid w:val="00AF7B31"/>
    <w:rsid w:val="00B04170"/>
    <w:rsid w:val="00B041DE"/>
    <w:rsid w:val="00B2324C"/>
    <w:rsid w:val="00B379A7"/>
    <w:rsid w:val="00B406C6"/>
    <w:rsid w:val="00B42204"/>
    <w:rsid w:val="00B81DCC"/>
    <w:rsid w:val="00BA174C"/>
    <w:rsid w:val="00BA736D"/>
    <w:rsid w:val="00BD3AC9"/>
    <w:rsid w:val="00BD7895"/>
    <w:rsid w:val="00BE3EF1"/>
    <w:rsid w:val="00BF44AA"/>
    <w:rsid w:val="00BF46BA"/>
    <w:rsid w:val="00C02416"/>
    <w:rsid w:val="00C15FB8"/>
    <w:rsid w:val="00C346B9"/>
    <w:rsid w:val="00C40DA5"/>
    <w:rsid w:val="00C45C8F"/>
    <w:rsid w:val="00C57AB0"/>
    <w:rsid w:val="00C602D0"/>
    <w:rsid w:val="00C761BE"/>
    <w:rsid w:val="00C80735"/>
    <w:rsid w:val="00C82BCA"/>
    <w:rsid w:val="00C93F0F"/>
    <w:rsid w:val="00C959C7"/>
    <w:rsid w:val="00CA4EEF"/>
    <w:rsid w:val="00CD4D33"/>
    <w:rsid w:val="00CE7A88"/>
    <w:rsid w:val="00CF0FC9"/>
    <w:rsid w:val="00CF210F"/>
    <w:rsid w:val="00CF4061"/>
    <w:rsid w:val="00CF6354"/>
    <w:rsid w:val="00D037AD"/>
    <w:rsid w:val="00D0549C"/>
    <w:rsid w:val="00D1057E"/>
    <w:rsid w:val="00D404A6"/>
    <w:rsid w:val="00D43421"/>
    <w:rsid w:val="00D47879"/>
    <w:rsid w:val="00D533F4"/>
    <w:rsid w:val="00D54A1D"/>
    <w:rsid w:val="00D702C8"/>
    <w:rsid w:val="00D827C9"/>
    <w:rsid w:val="00DB0638"/>
    <w:rsid w:val="00DB351C"/>
    <w:rsid w:val="00DC6C47"/>
    <w:rsid w:val="00DF3327"/>
    <w:rsid w:val="00E16502"/>
    <w:rsid w:val="00E33F3D"/>
    <w:rsid w:val="00E36E7F"/>
    <w:rsid w:val="00E4172B"/>
    <w:rsid w:val="00E6200B"/>
    <w:rsid w:val="00E640E4"/>
    <w:rsid w:val="00E64CB2"/>
    <w:rsid w:val="00E802C7"/>
    <w:rsid w:val="00E819DC"/>
    <w:rsid w:val="00E85711"/>
    <w:rsid w:val="00E914ED"/>
    <w:rsid w:val="00EA0BCA"/>
    <w:rsid w:val="00EA4AAE"/>
    <w:rsid w:val="00EA6060"/>
    <w:rsid w:val="00EA79B7"/>
    <w:rsid w:val="00EA7EAD"/>
    <w:rsid w:val="00EB1C89"/>
    <w:rsid w:val="00EB4FCE"/>
    <w:rsid w:val="00EC2B13"/>
    <w:rsid w:val="00ED58AF"/>
    <w:rsid w:val="00EF51EE"/>
    <w:rsid w:val="00F052EC"/>
    <w:rsid w:val="00F148F3"/>
    <w:rsid w:val="00F4760C"/>
    <w:rsid w:val="00F47A1B"/>
    <w:rsid w:val="00FC0304"/>
    <w:rsid w:val="00FC3077"/>
    <w:rsid w:val="00FE69A2"/>
    <w:rsid w:val="01D7751B"/>
    <w:rsid w:val="02CE3596"/>
    <w:rsid w:val="04A50EEC"/>
    <w:rsid w:val="04D52432"/>
    <w:rsid w:val="06384302"/>
    <w:rsid w:val="0787521A"/>
    <w:rsid w:val="08125078"/>
    <w:rsid w:val="0A24006E"/>
    <w:rsid w:val="0A531854"/>
    <w:rsid w:val="10DB1C9F"/>
    <w:rsid w:val="1223585E"/>
    <w:rsid w:val="130909DD"/>
    <w:rsid w:val="184E2C9F"/>
    <w:rsid w:val="1CA052F9"/>
    <w:rsid w:val="1D642863"/>
    <w:rsid w:val="242B713C"/>
    <w:rsid w:val="25E42FEE"/>
    <w:rsid w:val="29DC000F"/>
    <w:rsid w:val="2A446AAD"/>
    <w:rsid w:val="2C285F83"/>
    <w:rsid w:val="2DDF3C79"/>
    <w:rsid w:val="30C657F3"/>
    <w:rsid w:val="313809DC"/>
    <w:rsid w:val="34AF7752"/>
    <w:rsid w:val="355F7EFA"/>
    <w:rsid w:val="36C02B04"/>
    <w:rsid w:val="39912CDA"/>
    <w:rsid w:val="3B021FCD"/>
    <w:rsid w:val="3B753736"/>
    <w:rsid w:val="3C351C7D"/>
    <w:rsid w:val="3C4E23F0"/>
    <w:rsid w:val="3C7E52A0"/>
    <w:rsid w:val="3DC33742"/>
    <w:rsid w:val="40513E96"/>
    <w:rsid w:val="40905D53"/>
    <w:rsid w:val="42000BC4"/>
    <w:rsid w:val="43314834"/>
    <w:rsid w:val="46364CA7"/>
    <w:rsid w:val="46E22574"/>
    <w:rsid w:val="4AB34355"/>
    <w:rsid w:val="4E5172E2"/>
    <w:rsid w:val="4F1D1BDE"/>
    <w:rsid w:val="513A6BF2"/>
    <w:rsid w:val="51874608"/>
    <w:rsid w:val="536A21B6"/>
    <w:rsid w:val="53752AB9"/>
    <w:rsid w:val="53A428E0"/>
    <w:rsid w:val="552D3824"/>
    <w:rsid w:val="56FB48E2"/>
    <w:rsid w:val="577756DE"/>
    <w:rsid w:val="5A57777D"/>
    <w:rsid w:val="5BFD3C8C"/>
    <w:rsid w:val="5F7C2B03"/>
    <w:rsid w:val="5FE0676D"/>
    <w:rsid w:val="61B51DD0"/>
    <w:rsid w:val="673C5BAD"/>
    <w:rsid w:val="67C96784"/>
    <w:rsid w:val="68DB7346"/>
    <w:rsid w:val="6A4E7A79"/>
    <w:rsid w:val="6B8866EB"/>
    <w:rsid w:val="6CCD7544"/>
    <w:rsid w:val="6E865D6E"/>
    <w:rsid w:val="706A402B"/>
    <w:rsid w:val="723165E9"/>
    <w:rsid w:val="72DD1A6A"/>
    <w:rsid w:val="737F171E"/>
    <w:rsid w:val="7606407D"/>
    <w:rsid w:val="78714DE9"/>
    <w:rsid w:val="7B02376C"/>
    <w:rsid w:val="7B4B4D86"/>
    <w:rsid w:val="7DD81465"/>
    <w:rsid w:val="7E60273F"/>
    <w:rsid w:val="7F5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9F060"/>
  <w15:docId w15:val="{17EBC63F-E3AB-4F01-9FB4-D2D61D3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iPriority="35" w:unhideWhenUsed="1" w:qFormat="1"/>
    <w:lsdException w:name="endnote text" w:uiPriority="99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First Indent 2" w:unhideWhenUsed="1" w:qFormat="1"/>
    <w:lsdException w:name="Body Tex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29040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hAnsi="楷体_GB2312" w:cs="楷体_GB2312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unhideWhenUsed/>
    <w:qFormat/>
    <w:pPr>
      <w:spacing w:after="120" w:line="560" w:lineRule="exact"/>
      <w:ind w:leftChars="200" w:left="420" w:firstLineChars="200" w:firstLine="420"/>
      <w:jc w:val="both"/>
    </w:pPr>
    <w:rPr>
      <w:rFonts w:ascii="仿宋_GB2312" w:eastAsia="仿宋_GB2312" w:hAnsi="Calibri" w:hint="eastAsia"/>
      <w:kern w:val="2"/>
      <w:sz w:val="32"/>
      <w:szCs w:val="22"/>
    </w:rPr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Body Text"/>
    <w:basedOn w:val="a"/>
    <w:uiPriority w:val="99"/>
    <w:unhideWhenUsed/>
    <w:qFormat/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endnote text"/>
    <w:basedOn w:val="a"/>
    <w:uiPriority w:val="99"/>
    <w:pPr>
      <w:jc w:val="left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c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BodyText">
    <w:name w:val="BodyText"/>
    <w:qFormat/>
    <w:pPr>
      <w:widowControl w:val="0"/>
      <w:jc w:val="both"/>
      <w:textAlignment w:val="baseline"/>
    </w:pPr>
    <w:rPr>
      <w:rFonts w:ascii="Calibri" w:eastAsiaTheme="minorEastAsia" w:hAnsi="Calibri" w:cstheme="minorBidi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uiPriority w:val="31"/>
    <w:qFormat/>
    <w:rPr>
      <w:smallCaps/>
      <w:color w:val="C0504D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="420"/>
    </w:pPr>
    <w:rPr>
      <w:rFonts w:ascii="Arial" w:hAnsi="Arial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24">
    <w:name w:val="修订2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af2">
    <w:name w:val="表格标题"/>
    <w:link w:val="af3"/>
    <w:qFormat/>
    <w:pPr>
      <w:spacing w:line="560" w:lineRule="exact"/>
      <w:jc w:val="center"/>
    </w:pPr>
    <w:rPr>
      <w:rFonts w:ascii="黑体" w:eastAsia="黑体" w:hAnsi="黑体" w:cs="仿宋_GB2312"/>
      <w:kern w:val="2"/>
      <w:sz w:val="24"/>
      <w:szCs w:val="32"/>
    </w:rPr>
  </w:style>
  <w:style w:type="character" w:customStyle="1" w:styleId="af3">
    <w:name w:val="表格标题 字符"/>
    <w:basedOn w:val="a0"/>
    <w:link w:val="af2"/>
    <w:qFormat/>
    <w:rPr>
      <w:rFonts w:ascii="黑体" w:eastAsia="黑体" w:hAnsi="黑体" w:cs="仿宋_GB2312"/>
      <w:sz w:val="24"/>
      <w:szCs w:val="32"/>
    </w:rPr>
  </w:style>
  <w:style w:type="paragraph" w:customStyle="1" w:styleId="af4">
    <w:name w:val="表格内容"/>
    <w:basedOn w:val="22"/>
    <w:next w:val="a"/>
    <w:link w:val="af5"/>
    <w:qFormat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character" w:customStyle="1" w:styleId="af5">
    <w:name w:val="表格内容 字符"/>
    <w:basedOn w:val="23"/>
    <w:link w:val="af4"/>
    <w:qFormat/>
    <w:rPr>
      <w:rFonts w:ascii="宋体" w:eastAsia="宋体" w:hAnsi="仿宋_GB2312" w:cs="仿宋_GB2312"/>
      <w:sz w:val="24"/>
      <w:szCs w:val="32"/>
    </w:rPr>
  </w:style>
  <w:style w:type="character" w:customStyle="1" w:styleId="23">
    <w:name w:val="正文文本 2 字符"/>
    <w:basedOn w:val="a0"/>
    <w:link w:val="22"/>
    <w:qFormat/>
    <w:rPr>
      <w:rFonts w:ascii="仿宋_GB2312" w:eastAsia="仿宋_GB2312" w:hAnsi="Calibri" w:cs="宋体"/>
      <w:sz w:val="32"/>
    </w:rPr>
  </w:style>
  <w:style w:type="paragraph" w:customStyle="1" w:styleId="af6">
    <w:name w:val="四级标题"/>
    <w:basedOn w:val="4"/>
    <w:link w:val="af7"/>
    <w:qFormat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af7">
    <w:name w:val="四级标题 字符"/>
    <w:basedOn w:val="a0"/>
    <w:link w:val="af6"/>
    <w:qFormat/>
    <w:rPr>
      <w:rFonts w:ascii="仿宋_GB2312" w:eastAsia="仿宋_GB2312" w:hAnsiTheme="majorHAnsi" w:cstheme="majorBidi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Cs/>
      <w:kern w:val="44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Pr>
      <w:rFonts w:ascii="楷体_GB2312" w:eastAsia="楷体_GB2312" w:hAnsi="楷体_GB2312" w:cs="楷体_GB2312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="方正小标宋简体" w:eastAsia="方正小标宋简体" w:hAnsiTheme="majorHAnsi" w:cstheme="majorBidi"/>
      <w:sz w:val="44"/>
      <w:szCs w:val="32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character" w:customStyle="1" w:styleId="25">
    <w:name w:val="正文文本首行缩进 2 字符"/>
    <w:basedOn w:val="a6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paragraph" w:styleId="af8">
    <w:name w:val="Revision"/>
    <w:hidden/>
    <w:uiPriority w:val="99"/>
    <w:unhideWhenUsed/>
    <w:rsid w:val="00EB4FCE"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8253B2-3AA9-4C8F-A354-12C2AD3867B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502B47E-9E12-410E-8F0F-F6CBB0FA874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3654859-337E-42FF-BA93-903E201D5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35C13-2DAA-466B-A2DF-6A69A2A901A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232E4DD-C645-4726-BB8D-BD17A827B26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7F26E8AA-F55D-4FC4-AAD8-3A6EE540A241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QY L</cp:lastModifiedBy>
  <cp:revision>2</cp:revision>
  <cp:lastPrinted>2024-05-11T02:11:00Z</cp:lastPrinted>
  <dcterms:created xsi:type="dcterms:W3CDTF">2024-09-20T03:23:00Z</dcterms:created>
  <dcterms:modified xsi:type="dcterms:W3CDTF">2024-09-20T03:23:00Z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