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06ECC">
      <w:pPr>
        <w:pStyle w:val="8"/>
        <w:spacing w:line="560" w:lineRule="exact"/>
        <w:jc w:val="left"/>
        <w:rPr>
          <w:rFonts w:hint="eastAsia" w:ascii="仿宋_GB2312" w:hAnsi="仿宋" w:eastAsia="仿宋_GB2312"/>
          <w:b w:val="0"/>
          <w:bCs w:val="0"/>
        </w:rPr>
      </w:pPr>
      <w:r>
        <w:rPr>
          <w:rFonts w:hint="eastAsia" w:ascii="仿宋_GB2312" w:hAnsi="仿宋" w:eastAsia="仿宋_GB2312"/>
          <w:b w:val="0"/>
          <w:bCs w:val="0"/>
        </w:rPr>
        <w:t>附件：</w:t>
      </w:r>
    </w:p>
    <w:p w14:paraId="60073CAC">
      <w:pPr>
        <w:pStyle w:val="8"/>
        <w:spacing w:line="560" w:lineRule="exact"/>
        <w:jc w:val="both"/>
        <w:rPr>
          <w:rFonts w:hint="eastAsia" w:ascii="方正小标宋简体" w:hAnsi="仿宋" w:eastAsia="方正小标宋简体"/>
          <w:b w:val="0"/>
          <w:bCs w:val="0"/>
          <w:sz w:val="44"/>
          <w:szCs w:val="44"/>
        </w:rPr>
      </w:pPr>
      <w:r>
        <w:rPr>
          <w:rFonts w:hint="eastAsia" w:ascii="方正小标宋简体" w:hAnsi="仿宋" w:eastAsia="方正小标宋简体"/>
          <w:b w:val="0"/>
          <w:bCs w:val="0"/>
          <w:sz w:val="44"/>
          <w:szCs w:val="44"/>
        </w:rPr>
        <w:t>深圳市科技创新种子基金申报指南及遴选办法</w:t>
      </w:r>
    </w:p>
    <w:p w14:paraId="796D5FB3">
      <w:pPr>
        <w:widowControl/>
        <w:shd w:val="clear" w:color="auto" w:fill="FFFFFF"/>
        <w:spacing w:line="560" w:lineRule="exact"/>
        <w:jc w:val="center"/>
        <w:rPr>
          <w:rFonts w:hint="eastAsia" w:ascii="宋体" w:hAnsi="宋体" w:cs="宋体"/>
          <w:kern w:val="0"/>
          <w:sz w:val="44"/>
          <w:szCs w:val="44"/>
        </w:rPr>
      </w:pPr>
    </w:p>
    <w:p w14:paraId="73FD61C4">
      <w:pPr>
        <w:widowControl/>
        <w:shd w:val="clear" w:color="auto" w:fill="FFFFFF"/>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一、种子基金定位</w:t>
      </w:r>
    </w:p>
    <w:p w14:paraId="5A9C9343">
      <w:pPr>
        <w:spacing w:line="560" w:lineRule="exact"/>
        <w:ind w:firstLine="640" w:firstLineChars="200"/>
        <w:rPr>
          <w:rFonts w:hint="eastAsia" w:ascii="仿宋_GB2312" w:hAnsi="微软雅黑" w:eastAsia="仿宋_GB2312" w:cs="宋体"/>
          <w:kern w:val="0"/>
          <w:sz w:val="32"/>
          <w:szCs w:val="32"/>
        </w:rPr>
      </w:pPr>
      <w:r>
        <w:rPr>
          <w:rFonts w:hint="eastAsia" w:ascii="仿宋_GB2312" w:hAnsi="微软雅黑" w:eastAsia="仿宋_GB2312" w:cs="宋体"/>
          <w:kern w:val="0"/>
          <w:sz w:val="32"/>
          <w:szCs w:val="32"/>
        </w:rPr>
        <w:t>深圳市科技创新种子基金（以下简称“种子基金”）是由深圳市政府出资设立，委托深圳市天使投资引导基金管理有限公司（以下简称“管理公司”）管理并按照市场化方式运作，不以盈利为目的的政策性母基金，主要通过投资各类种子子基金（以下简称“子基金”），支持具有自主知识产权、科技含量高、创新能力强的种子期科技项目，链接全球科技创新资源，促进技术创新和科技成果转化。</w:t>
      </w:r>
    </w:p>
    <w:p w14:paraId="78C384C9">
      <w:pPr>
        <w:numPr>
          <w:ilvl w:val="0"/>
          <w:numId w:val="1"/>
        </w:numPr>
        <w:spacing w:line="56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子基金申请机构</w:t>
      </w:r>
    </w:p>
    <w:p w14:paraId="7FCA1611">
      <w:pPr>
        <w:numPr>
          <w:ilvl w:val="0"/>
          <w:numId w:val="2"/>
        </w:numPr>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符合以下条件的境内申请机构：</w:t>
      </w:r>
    </w:p>
    <w:p w14:paraId="06BD7E8B">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1.依法设立且已在相关主管部门或行业自律组织登记备案。</w:t>
      </w:r>
    </w:p>
    <w:p w14:paraId="2EAC516B">
      <w:pPr>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2.实缴资本不低于1000万元人民币。</w:t>
      </w:r>
    </w:p>
    <w:p w14:paraId="23BC552F">
      <w:pPr>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3.未被中国证券投资基金业协会列为异常机构且不存在不良诚信记录等情形。</w:t>
      </w:r>
    </w:p>
    <w:p w14:paraId="0B1CA15A">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4.最近三年不存在重大违法违规行为。</w:t>
      </w:r>
    </w:p>
    <w:p w14:paraId="6466B2CA">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（二）符合以下条件的境外申请机构：</w:t>
      </w:r>
    </w:p>
    <w:p w14:paraId="52E5D8F5">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1.经所在国家或地区监管机构批准从事股权投资管理业务，具备当地监管机构颁发的许可证件。</w:t>
      </w:r>
    </w:p>
    <w:p w14:paraId="56C10638">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2.净资产不低于200万美元或等值货币。</w:t>
      </w:r>
    </w:p>
    <w:p w14:paraId="46187CAB">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3.经营管理境外投资基金，持续运营3年以上，有良好的投资业绩，健全的治理机构和完善的内控制度。</w:t>
      </w:r>
    </w:p>
    <w:p w14:paraId="34737C4C">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4.最近三年未受所在国家或地区监管机构的重大处罚，无重大事项正在接受司法部门、监管机构的立案调查。</w:t>
      </w:r>
    </w:p>
    <w:p w14:paraId="4D7430B9">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5.至少拥有1名具备5年以上，2名具备3年以上境外基金投资管理经验和相关专业资质的主要投资人员。</w:t>
      </w:r>
    </w:p>
    <w:p w14:paraId="7D7DFD20">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国内外知名高等院校、科研院所、重点实验室等技术源头单位、国际知名的技术转移机构及国家/省/市级科技企业孵化器及国家、省、市新型研发机构、深圳市概念验证中心、中小试基地和成果产业化基地等。</w:t>
      </w:r>
    </w:p>
    <w:p w14:paraId="65649F3F">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（四）各区引导基金出资主体、运营主体或区引导基金指定主体。</w:t>
      </w:r>
    </w:p>
    <w:p w14:paraId="603E2002">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以上申请主体可以单独或者联合申请。</w:t>
      </w:r>
    </w:p>
    <w:p w14:paraId="3192933C">
      <w:pPr>
        <w:widowControl/>
        <w:shd w:val="clear" w:color="auto" w:fill="FFFFFF"/>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三、子基金管理机构</w:t>
      </w:r>
    </w:p>
    <w:p w14:paraId="5F2741B5">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子基金管理机构须由子基金申请机构或其关联方担任。管理公司原则上根据行业经验、项目资源、管理规模、管理团队情况、对深圳产业贡献的承诺情况等因素，遴选子基金管理机构。子基金管理机构应符合下列基本要求：</w:t>
      </w:r>
    </w:p>
    <w:p w14:paraId="00109F97">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（一）实缴资本：子基金管理机构在与种子基金正式签订合伙协议/公司章程/基金合同前，实缴注册资本不低于1000万元。</w:t>
      </w:r>
    </w:p>
    <w:p w14:paraId="18C70760">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（二）执业资格：在种子基金对子基金出资前，子基金管理机构须在中国证券投资基金业协会完成私募基金管理人登记。</w:t>
      </w:r>
    </w:p>
    <w:p w14:paraId="1401CE1C">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（三）管理制度：</w:t>
      </w:r>
    </w:p>
    <w:p w14:paraId="244CBD99">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1.子基金管理机构应具有完善的风险控制流程及健全的内部财务管理制度。</w:t>
      </w:r>
    </w:p>
    <w:p w14:paraId="2F126BFC">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子基金管理机构应当围绕种子孵化目标建立相匹配的项目遴选、立项和投决机制，包括广泛邀请相关领域的学术界和产业界的专家为项目立项或者投资决策提供建议。子基金管理机构应当在申请资料中提供相关的制度说明。</w:t>
      </w:r>
    </w:p>
    <w:p w14:paraId="13F54E4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子基金管理机构应当具备子基金重点投资领域的产业研究能力，提交申请时，须结合深圳市产业情况，提交子基金重点投资领域的产业研究报告，分析该领域国内技术短板、产业卡脖子问题以及深圳产业链相关情况，并对该产业前沿技术的发展方向和趋势进行研究分析。</w:t>
      </w:r>
    </w:p>
    <w:p w14:paraId="5F17439D">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（四）管理团队：</w:t>
      </w:r>
    </w:p>
    <w:p w14:paraId="1A89D83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1.子基金管理机构须为本基金运营在深圳设置固定的办公场所。</w:t>
      </w:r>
    </w:p>
    <w:p w14:paraId="3539A62E">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子基金管理团队应当在子基金重点投资领域具有出色成功投资记录或者拥有长期产业工作经验，一般应至少有3名具备5年以上股权投资或相关工作经验的专职高级管理人员，且曾在同一公司共事3年以上时间；专职高级管理人员原则上应包括与子基金管理机构（含其主要股东或控股子公司）签署劳动合同的法定代表人/执行事务合伙人（委派代表）、总经理、副总经理、合伙人、董事总经理、合规/风控负责人及其他核心团队成员；管理团队稳定。</w:t>
      </w:r>
    </w:p>
    <w:p w14:paraId="7FA8FC8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3.子基金管理机构须至少满足下列条件之一：</w:t>
      </w:r>
    </w:p>
    <w:p w14:paraId="10EC2A9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子基金管理机构（含其主要股东或控股子公司）最近3年受托管理的基金总额或者管理团队核心成员参与管理的已实缴投资的项目资金总额不低于2亿元。子基金管理团队核心成员至少累计主导过3个（含）股权投资成功案例。</w:t>
      </w:r>
    </w:p>
    <w:p w14:paraId="4F29FBF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子基金管理机构（含其主要股东、实际控制人或控股子公司）为国内外知名高等院校、科研院所、重点实验室等技术源头单位或国际知名技术转移机构等科技成果转化机构的，该单位最近5年内科技成果转化项目或技术转移项目融资总金额累计不低于1亿元人民币（或等值货币）。</w:t>
      </w:r>
    </w:p>
    <w:p w14:paraId="1E2F2CD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子基金管理机构（含其主要股东、实际控制人或控股子公司）为国家/省/市级科技企业孵化器等协助科技成果转化单位的，最近5年内与该单位签订含有融资服务条款协议的企业在签订协议后获得的投资金额累计不低于1亿元人民币（或等值货币）。</w:t>
      </w:r>
    </w:p>
    <w:p w14:paraId="491C0E85">
      <w:pPr>
        <w:pStyle w:val="2"/>
        <w:jc w:val="both"/>
        <w:rPr>
          <w:rFonts w:ascii="仿宋_GB2312" w:eastAsia="仿宋_GB2312"/>
          <w:sz w:val="32"/>
          <w:szCs w:val="32"/>
        </w:rPr>
      </w:pPr>
      <w:r>
        <w:rPr>
          <w:rFonts w:hint="eastAsia" w:ascii="仿宋_GB2312" w:eastAsia="仿宋_GB2312"/>
          <w:sz w:val="32"/>
          <w:szCs w:val="32"/>
        </w:rPr>
        <w:t xml:space="preserve">    为落实好深圳市政府和主管部门的产业发展战略，管理公司有权向子基金管理机构提出其他附加条件。</w:t>
      </w:r>
    </w:p>
    <w:p w14:paraId="63103FD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子基金管理团队应当具备较强的投后赋能能力，包括但不限于为已投项目提供创业辅导、管理咨询、市场开拓等增值服务，与产业界上下游密切合作推动已投项目完成中小试，为已投项目招聘具有丰富企业运营经验的全职高级管理人员，为已投项目组建一支有经验的外部科学顾问或产业顾问团队，必要时可以派出人员兼任已投项目的高级管理人员。子基金管理机构应当提供曾经帮助过已投项目成功对外融资、市场推广或客户对接的说明材料。</w:t>
      </w:r>
    </w:p>
    <w:p w14:paraId="77E5C4F4">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5.子基金管理机构及其高级管理人员具有良好的管理业绩和职业操守，在最近三年无重大过失，无受到行政主管机关或司法机关有关处罚的影响基金正常运营的不良记录。</w:t>
      </w:r>
    </w:p>
    <w:p w14:paraId="1A132A6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（五）项目资源：</w:t>
      </w:r>
    </w:p>
    <w:p w14:paraId="6C4F93E7">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对于重点依托国内外知名高等院校、科研院所等技术源头单位，国际知名的技术转移机构及国家级科技企业孵化器，国家、省、市重点实验室，国家、省、市技术创新中心、制造业创新中心和产业创新中心，国家、省、市新型研发机构，深圳市概念验证中心、中小试基地和成果产业化基地的科技成果产业化开展投资的子基金优先考虑。</w:t>
      </w:r>
    </w:p>
    <w:p w14:paraId="19C17F8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2.如子基金管理机构已对部分拟投的储备项目完成立项和尽调，并在申请资料中提供了投资建议书和尽调报告，储备项目符合本申报指南及遴选办法要求且具有较大的投资价值的，可优先考虑。</w:t>
      </w:r>
    </w:p>
    <w:p w14:paraId="55661C1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3.鼓励子基金管理机构通过种子项目库挑选项目开展投资。</w:t>
      </w:r>
    </w:p>
    <w:p w14:paraId="000A93AC">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六）募资能力：子基金管理机构应根据相关法律法规、行业自律规定向合格投资者募集资金。以合伙企业、契约等非法人形式，通过汇集多数投资者的资金直接或者间接投资于子基金的，子基金管理机构应当穿透核查最终投资者是否为合格投资者，并合并计算投资者人数。子基金管理机构应当勤勉尽责，核实各出资人是否符合国家相关政策法规规定的合格投资者要求。子基金申报方案由子基金申请机构负责提交。申请新设子基金的，在提交基金申报方案时，须至少已经募集到拟设立子基金总规模的20%资金（不含种子基金及区引导基金出资部分），并提供拟出资人的出资承诺函、出资能力文件等材料（拟出资人为各级人民政府或其职能部门直接出资的政府投资基金除外，但应提供同等效力的材料）。</w:t>
      </w:r>
    </w:p>
    <w:p w14:paraId="22AF20B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七）申请时限：申请种子基金增资的子基金注册时间不超过12个月（自子基金工商注册之日起至种子基金受理其申请之日止，种子基金对已参股子基金的增资不受该条款时间限制），同时须提供子基金现有全体出资人同意申请种子基金出资且以平价增资并豁免种子基金罚息及同意种子基金享有子基金已投资项目收益（如有）的合伙人会议决议/股东（大）会决议/持有人大会决议。</w:t>
      </w:r>
    </w:p>
    <w:p w14:paraId="3F7C9223">
      <w:pPr>
        <w:widowControl/>
        <w:shd w:val="clear" w:color="auto" w:fill="FFFFFF"/>
        <w:spacing w:line="560" w:lineRule="exact"/>
        <w:ind w:firstLine="640" w:firstLineChars="200"/>
        <w:rPr>
          <w:rFonts w:hint="eastAsia" w:ascii="黑体" w:hAnsi="黑体" w:eastAsia="黑体"/>
          <w:sz w:val="32"/>
          <w:szCs w:val="32"/>
        </w:rPr>
      </w:pPr>
      <w:r>
        <w:rPr>
          <w:rFonts w:hint="eastAsia" w:ascii="黑体" w:hAnsi="黑体" w:eastAsia="黑体"/>
          <w:sz w:val="32"/>
          <w:szCs w:val="32"/>
        </w:rPr>
        <w:t>四、子基金设立要求</w:t>
      </w:r>
    </w:p>
    <w:p w14:paraId="28FF0C14">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子基金须符合下列要求：</w:t>
      </w:r>
    </w:p>
    <w:p w14:paraId="5B7F1A0E">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（一）注册区域：子基金须在深圳市（含深汕合作区，下同）实际从事经营活动。</w:t>
      </w:r>
    </w:p>
    <w:p w14:paraId="36176D2B">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（二）出资规模：种子基金对单一子基金认缴出资额原则上不高于1亿元人民币。单一子基金总规模不低于3000万元人民币。</w:t>
      </w:r>
    </w:p>
    <w:p w14:paraId="3BC3DB8B">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（三）出资比例：</w:t>
      </w:r>
    </w:p>
    <w:p w14:paraId="63CA43ED">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w:t>
      </w:r>
      <w:r>
        <w:rPr>
          <w:rFonts w:ascii="仿宋_GB2312" w:hAnsi="仿宋" w:eastAsia="仿宋_GB2312"/>
          <w:sz w:val="32"/>
          <w:szCs w:val="32"/>
        </w:rPr>
        <w:t>市、区引导基金统筹协调安排出资，合计认缴出资比例原则上不超过子基金目标规模的80%，其中种子基金不超过50%。种子基金可与区引导基金及其他出资方共同发起设立子基金；也可以由种子基金与其他出资方发起先行设立，在种子基金出资后一年内，若有区引导基金统筹协调的财政、国有资金完成向子基金增资决策的，种子基金可根据其实际出资情况增加对子基金认缴出资。</w:t>
      </w:r>
    </w:p>
    <w:p w14:paraId="619CD28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2.鼓励国资背景（国有控股、实际控制或为第一大股东）投资机构申请设立子基金，允许其财政及国有成分出资比例最高可达100%。财政及国有成分出资比例100%的子基金，</w:t>
      </w:r>
      <w:r>
        <w:rPr>
          <w:rFonts w:ascii="仿宋_GB2312" w:hAnsi="仿宋" w:eastAsia="仿宋_GB2312"/>
          <w:sz w:val="32"/>
          <w:szCs w:val="32"/>
        </w:rPr>
        <w:t>应在市属国有企业及其他符合相关要求的机构</w:t>
      </w:r>
      <w:r>
        <w:rPr>
          <w:rFonts w:hint="eastAsia" w:ascii="仿宋_GB2312" w:hAnsi="仿宋" w:eastAsia="仿宋_GB2312"/>
          <w:sz w:val="32"/>
          <w:szCs w:val="32"/>
        </w:rPr>
        <w:t>中择优遴选管理机构。</w:t>
      </w:r>
    </w:p>
    <w:p w14:paraId="5C8DF81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w:t>
      </w:r>
      <w:bookmarkStart w:id="0" w:name="_Hlk216255163"/>
      <w:r>
        <w:rPr>
          <w:rFonts w:hint="eastAsia" w:ascii="仿宋_GB2312" w:hAnsi="仿宋" w:eastAsia="仿宋_GB2312"/>
          <w:sz w:val="32"/>
          <w:szCs w:val="32"/>
        </w:rPr>
        <w:t>子基金管理机构及其关联方合计认缴出资比例原则上不低于基金目标规模的2%，其中子基金管理机构出资须不低于1%。允许多家机构合作设立含多个普通合伙人的基金，以多方共同组建的管理团队认定其投资能力，若各方为非关联方关系，则各方在子基金中作为普通合伙人出资皆不低于2%。同时各方应当在申请种子基金出资前签订合作协议，明确各方的责权利关系。</w:t>
      </w:r>
    </w:p>
    <w:bookmarkEnd w:id="0"/>
    <w:p w14:paraId="01293021">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（四）子基金应在募集完毕之日起20个工作日内在中国证券投资基金业协会办理备案手续。</w:t>
      </w:r>
    </w:p>
    <w:p w14:paraId="24280462">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（五）存续期限：子基金存续期限不超过15年，具体投资期、退出期以合伙协议/公司章程/基金合同约定为准。子基金存续期届满原则上应启动清算程序。</w:t>
      </w:r>
    </w:p>
    <w:p w14:paraId="2E3CE564">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（六）投资地域：</w:t>
      </w:r>
    </w:p>
    <w:p w14:paraId="7138FEBC">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1.子基金投资于在深圳市内注册登记的企业，或承诺投资后三年内总部落地深圳的境内外企业的投资金额原则上不低于市区两级引导基金（含区引导基金统筹协调的财政、国有资金）合计在子基金中的出资额。在子基金作为股东于企业内完全退出前，被投企业应在深圳从事主要生产经营活动。</w:t>
      </w:r>
    </w:p>
    <w:p w14:paraId="32916CD8">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2.子基金可投资于因企业融资或境外上市等客观经营要求而设立的境外持股主体或控制主体，但实际经营总部注册在深圳的企业，实际经营总部实缴注册资本须不低于子基金对已投企业的对应投资金额</w:t>
      </w:r>
      <w:r>
        <w:rPr>
          <w:rFonts w:hint="eastAsia" w:ascii="仿宋_GB2312" w:hAnsi="仿宋" w:eastAsia="仿宋_GB2312"/>
          <w:sz w:val="32"/>
          <w:szCs w:val="32"/>
        </w:rPr>
        <w:t>，上述情形下的企业可按照投资该项目的实际金额计入子基金投资深圳的金额</w:t>
      </w:r>
      <w:r>
        <w:rPr>
          <w:rFonts w:ascii="仿宋_GB2312" w:hAnsi="仿宋" w:eastAsia="仿宋_GB2312"/>
          <w:sz w:val="32"/>
          <w:szCs w:val="32"/>
        </w:rPr>
        <w:t>。</w:t>
      </w:r>
    </w:p>
    <w:p w14:paraId="100963FA">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3.如果被投企业未按承诺在子基金投资后三年内被投企业或其总部落地深圳市内的，或在子基金作为股东于企业内完全退出前，被投企业未在深圳从事主要生产经营活动的，自被投企业未完成承诺之日或未在深圳从事主要生产经营活动之日起，子基金管理机构或其控股股东（公司制）、普通合伙人（合伙制）管理的其他基金或自有资金投资的项目（符合深圳重点产业方向）注册地迁入深圳，经管理</w:t>
      </w:r>
      <w:r>
        <w:rPr>
          <w:rFonts w:hint="eastAsia" w:ascii="仿宋_GB2312" w:hAnsi="仿宋" w:eastAsia="仿宋_GB2312"/>
          <w:sz w:val="32"/>
          <w:szCs w:val="32"/>
        </w:rPr>
        <w:t>公司</w:t>
      </w:r>
      <w:r>
        <w:rPr>
          <w:rFonts w:ascii="仿宋_GB2312" w:hAnsi="仿宋" w:eastAsia="仿宋_GB2312"/>
          <w:sz w:val="32"/>
          <w:szCs w:val="32"/>
        </w:rPr>
        <w:t>进行合规性审核后，上述情形下的企业可按照投资该项目的实际金额计入子基金投资深圳的金额。若项目方注册地未迁入深圳，仅通过设立子公司的形式将主要生产研发基地落户深圳的情况，可按照投资该项目的实际金额的50%计入子基金投资深圳的金额。上述情形下的企业应当在深圳实际运营并纳税，有人员在深圳缴纳社保（含当地第三方公司代交或购买劳务），并承诺5年内不得迁出，投资收益不享受本方案规定的让利奖励。</w:t>
      </w:r>
    </w:p>
    <w:p w14:paraId="7967ECA9">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4.其他</w:t>
      </w:r>
      <w:r>
        <w:rPr>
          <w:rFonts w:hint="eastAsia" w:ascii="仿宋_GB2312" w:hAnsi="仿宋" w:eastAsia="仿宋_GB2312"/>
          <w:sz w:val="32"/>
          <w:szCs w:val="32"/>
        </w:rPr>
        <w:t>按子基金投后管理办法</w:t>
      </w:r>
      <w:r>
        <w:rPr>
          <w:rFonts w:ascii="仿宋_GB2312" w:hAnsi="仿宋" w:eastAsia="仿宋_GB2312"/>
          <w:sz w:val="32"/>
          <w:szCs w:val="32"/>
        </w:rPr>
        <w:t>认定的返投情形。</w:t>
      </w:r>
    </w:p>
    <w:p w14:paraId="4B5AECF1">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（七）投资限额：单个项目单笔投资金额不超过子基金规模的10%，且</w:t>
      </w:r>
      <w:r>
        <w:rPr>
          <w:rFonts w:ascii="仿宋_GB2312" w:hAnsi="仿宋" w:eastAsia="仿宋_GB2312"/>
          <w:sz w:val="32"/>
          <w:szCs w:val="32"/>
        </w:rPr>
        <w:t>单笔投资金额不超过500万元的投资累计不低于子基金规模的50%。</w:t>
      </w:r>
      <w:r>
        <w:rPr>
          <w:rFonts w:hint="eastAsia" w:ascii="仿宋_GB2312" w:hAnsi="仿宋" w:eastAsia="仿宋_GB2312"/>
          <w:sz w:val="32"/>
          <w:szCs w:val="32"/>
        </w:rPr>
        <w:t>投资期限内，子基金可对已投项目进行追加投资，子基金用于追加投资的金额不超过子基金规模的20%。</w:t>
      </w:r>
    </w:p>
    <w:p w14:paraId="1D23AC8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（八）投资标的：子基金须投向极早期初创企业、追加投资的项目或符合条件的尚未实体运作项目。</w:t>
      </w:r>
    </w:p>
    <w:p w14:paraId="7C9EF249">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1.极早期初创企业，需满足以下条件：</w:t>
      </w:r>
    </w:p>
    <w:p w14:paraId="78C1D7A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（1）子基金的投资须为其首轮外部机构投资。</w:t>
      </w:r>
    </w:p>
    <w:p w14:paraId="6849A76D">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（2）子基金投资决策时企业估值不超过1亿元人民币，</w:t>
      </w:r>
      <w:r>
        <w:rPr>
          <w:rFonts w:ascii="仿宋_GB2312" w:hAnsi="仿宋" w:eastAsia="仿宋_GB2312"/>
          <w:sz w:val="32"/>
          <w:szCs w:val="32"/>
        </w:rPr>
        <w:t>人工智能、智能机器人等估值较高的领域可适当放宽</w:t>
      </w:r>
      <w:r>
        <w:rPr>
          <w:rFonts w:hint="eastAsia" w:ascii="仿宋_GB2312" w:hAnsi="仿宋" w:eastAsia="仿宋_GB2312"/>
          <w:sz w:val="32"/>
          <w:szCs w:val="32"/>
        </w:rPr>
        <w:t>，企业估值以投前估值为准。</w:t>
      </w:r>
    </w:p>
    <w:p w14:paraId="6CA8E48D">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2.追加投资项目是指子基金对其已经投资的项目超出极早期初创企业标准后的再次投资。</w:t>
      </w:r>
    </w:p>
    <w:p w14:paraId="2654DAE7">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3.投资对象为尚未实体运作项目，包括但不限于以下项目类型：</w:t>
      </w:r>
    </w:p>
    <w:p w14:paraId="205E9621">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（1）国家、省、市重点实验室，国家、省、市制造业创新中心，技术创新中心和产业创新中心，高等院校及研究机构在研的处于概念验证和中试阶段的科创项目。</w:t>
      </w:r>
    </w:p>
    <w:p w14:paraId="67B22B0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（2）市科技创新局种子项目库</w:t>
      </w:r>
      <w:r>
        <w:rPr>
          <w:rFonts w:ascii="仿宋_GB2312" w:hAnsi="仿宋" w:eastAsia="仿宋_GB2312"/>
          <w:sz w:val="32"/>
          <w:szCs w:val="32"/>
        </w:rPr>
        <w:t>、</w:t>
      </w:r>
      <w:r>
        <w:rPr>
          <w:rFonts w:hint="eastAsia" w:ascii="仿宋_GB2312" w:hAnsi="仿宋" w:eastAsia="仿宋_GB2312"/>
          <w:sz w:val="32"/>
          <w:szCs w:val="32"/>
        </w:rPr>
        <w:t>或</w:t>
      </w:r>
      <w:r>
        <w:rPr>
          <w:rFonts w:ascii="仿宋_GB2312" w:hAnsi="仿宋" w:eastAsia="仿宋_GB2312"/>
          <w:sz w:val="32"/>
          <w:szCs w:val="32"/>
        </w:rPr>
        <w:t>河套深港科技创新合作区、光明科学城</w:t>
      </w:r>
      <w:r>
        <w:rPr>
          <w:rFonts w:hint="eastAsia" w:ascii="仿宋_GB2312" w:hAnsi="仿宋" w:eastAsia="仿宋_GB2312"/>
          <w:sz w:val="32"/>
          <w:szCs w:val="32"/>
        </w:rPr>
        <w:t>等市、区重点科技成果转化项目。</w:t>
      </w:r>
    </w:p>
    <w:p w14:paraId="3929B0D7">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（3）海外高层次人才团队项目。</w:t>
      </w:r>
    </w:p>
    <w:p w14:paraId="0F720745">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（4）深圳市重大科技基础设施关联的科技成果转化等相关项目。</w:t>
      </w:r>
    </w:p>
    <w:p w14:paraId="248D896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在不违反相关法律法规及监管政策的前提下，子基金管理机构可对尚未实体运作项目进行投资决策、报送相关材料至种子基金进行合规性审核，必要时可先与项目团队签订发起人协议等文件。支持引导尚未实体运作项目在合理期限内注册实体，作为极早期初创企业投资标的，当上述项目实体化运作时，子基金投资转化为项目股权。</w:t>
      </w:r>
    </w:p>
    <w:p w14:paraId="118C93B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4.鼓励子基金择优支持符合本条规定的下列科技型企业：</w:t>
      </w:r>
    </w:p>
    <w:p w14:paraId="590BFE77">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（1）国内外高层次人才团队独立创办或合作设立的科技型企业，高层次人才团队入股在公司的股份不低于30%且是第一大股东。</w:t>
      </w:r>
    </w:p>
    <w:p w14:paraId="3C2E0867">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（2）以国家、省、市、区级创新创业竞赛中优秀项目为载体而设立的科技型企业。</w:t>
      </w:r>
    </w:p>
    <w:p w14:paraId="4D0523D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（3）以国家、省、市、区无偿资助科技计划项目为载体而设立的科技型企业。</w:t>
      </w:r>
    </w:p>
    <w:p w14:paraId="593CF9CC">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以国内外知名高等院校、科研院所、重点实验室、国际知名的技术转移机构、国家/省/市级科技企业孵化器、深圳市概念验证中心、中小试基地和成果产业化基地的科技成果转化项目为载体而设立的科技型企业。</w:t>
      </w:r>
    </w:p>
    <w:p w14:paraId="48CCAD9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（5）具有自主知识产权的高端科技人才，包括但不限于“两院”院士、行业领军人才、优秀大中型企业高管等人员创办或合作设立的科技型企业，其中高端科技人才入股在公司的股份不低于30%且是第一大股东。</w:t>
      </w:r>
      <w:bookmarkStart w:id="1" w:name="_Hlk170898364"/>
    </w:p>
    <w:bookmarkEnd w:id="1"/>
    <w:p w14:paraId="18B23EDB">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（九）投资领域：子基金应全部投向深圳战略性新兴产业和未来产业（以下简称“20+8”）的相关领域。</w:t>
      </w:r>
    </w:p>
    <w:p w14:paraId="1035CA6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（十）管理费用：</w:t>
      </w:r>
    </w:p>
    <w:p w14:paraId="5E04473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子基金管理机构管理费：投资期内（投资期不超过自子基金设立之日起的5年），每年按不超过子基金实缴金额扣除已收回本金后的2.5%收取；退出期内（退出期不超过投资期到期后的7年），每年按不超过已投未退金额的1.5%收取；延长期（延长期是指退出期到期后的基金剩余存续期限）不收取管理费。子基金管理机构存续期内所收取的管理费总额不得超过子基金实缴总规模的20%。子基金对种子基金收取管理费的标准不得高于其他出资人（子基金员工跟投出资平台除外）。子基金运营过程中发生的与投资项目相关的考察和尽调等费用均由子基金管理机构承担。</w:t>
      </w:r>
    </w:p>
    <w:p w14:paraId="433D5C6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（十一）</w:t>
      </w:r>
      <w:r>
        <w:rPr>
          <w:rFonts w:ascii="仿宋_GB2312" w:hAnsi="仿宋" w:eastAsia="仿宋_GB2312"/>
          <w:sz w:val="32"/>
          <w:szCs w:val="32"/>
        </w:rPr>
        <w:t>政策目标：种子基金将对子基金设置深圳市产业贡献的具体指标，后续可在运行过程中结合实际情况适时调整，包括但不限于以下：</w:t>
      </w:r>
    </w:p>
    <w:p w14:paraId="54CAA29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1.两个必选政策目标：</w:t>
      </w:r>
    </w:p>
    <w:p w14:paraId="602FB249">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（1）子基金所投项目所对应金额，获得外部二轮融资所占比例不得低于30%，获得外部三轮融资所占比例不得低于15%；</w:t>
      </w:r>
    </w:p>
    <w:p w14:paraId="0D59E1E6">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（2）投资领域：子基金需集中选定</w:t>
      </w:r>
      <w:r>
        <w:rPr>
          <w:rFonts w:hint="eastAsia" w:ascii="仿宋_GB2312" w:hAnsi="仿宋" w:eastAsia="仿宋_GB2312"/>
          <w:sz w:val="32"/>
          <w:szCs w:val="32"/>
        </w:rPr>
        <w:t>深圳</w:t>
      </w:r>
      <w:r>
        <w:rPr>
          <w:rFonts w:ascii="仿宋_GB2312" w:hAnsi="仿宋" w:eastAsia="仿宋_GB2312"/>
          <w:sz w:val="32"/>
          <w:szCs w:val="32"/>
        </w:rPr>
        <w:t>市“20+8”产业领域中的两个至三个战略性新兴产业和未来产业方向，</w:t>
      </w:r>
      <w:r>
        <w:rPr>
          <w:rFonts w:hint="eastAsia" w:ascii="仿宋_GB2312" w:hAnsi="仿宋" w:eastAsia="仿宋_GB2312"/>
          <w:sz w:val="32"/>
          <w:szCs w:val="32"/>
        </w:rPr>
        <w:t>集中</w:t>
      </w:r>
      <w:r>
        <w:rPr>
          <w:rFonts w:ascii="仿宋_GB2312" w:hAnsi="仿宋" w:eastAsia="仿宋_GB2312"/>
          <w:sz w:val="32"/>
          <w:szCs w:val="32"/>
        </w:rPr>
        <w:t>选定</w:t>
      </w:r>
      <w:r>
        <w:rPr>
          <w:rFonts w:hint="eastAsia" w:ascii="仿宋_GB2312" w:hAnsi="仿宋" w:eastAsia="仿宋_GB2312"/>
          <w:sz w:val="32"/>
          <w:szCs w:val="32"/>
        </w:rPr>
        <w:t>深圳市</w:t>
      </w:r>
      <w:r>
        <w:rPr>
          <w:rFonts w:ascii="仿宋_GB2312" w:hAnsi="仿宋" w:eastAsia="仿宋_GB2312"/>
          <w:sz w:val="32"/>
          <w:szCs w:val="32"/>
        </w:rPr>
        <w:t>“20+8”产业领域中的两个战略性新兴产业和未来产业方向的子基金</w:t>
      </w:r>
      <w:r>
        <w:rPr>
          <w:rFonts w:hint="eastAsia" w:ascii="仿宋_GB2312" w:hAnsi="仿宋" w:eastAsia="仿宋_GB2312"/>
          <w:sz w:val="32"/>
          <w:szCs w:val="32"/>
        </w:rPr>
        <w:t>，</w:t>
      </w:r>
      <w:r>
        <w:rPr>
          <w:rFonts w:ascii="仿宋_GB2312" w:hAnsi="仿宋" w:eastAsia="仿宋_GB2312"/>
          <w:sz w:val="32"/>
          <w:szCs w:val="32"/>
        </w:rPr>
        <w:t>累计投资金额不低于基金实缴规模的50%，</w:t>
      </w:r>
      <w:r>
        <w:rPr>
          <w:rFonts w:hint="eastAsia" w:ascii="仿宋_GB2312" w:hAnsi="仿宋" w:eastAsia="仿宋_GB2312"/>
          <w:sz w:val="32"/>
          <w:szCs w:val="32"/>
        </w:rPr>
        <w:t>或者</w:t>
      </w:r>
      <w:r>
        <w:rPr>
          <w:rFonts w:ascii="仿宋_GB2312" w:hAnsi="仿宋" w:eastAsia="仿宋_GB2312"/>
          <w:sz w:val="32"/>
          <w:szCs w:val="32"/>
        </w:rPr>
        <w:t>选定三个战略性新兴产业和未来产业方向的子基金</w:t>
      </w:r>
      <w:r>
        <w:rPr>
          <w:rFonts w:hint="eastAsia" w:ascii="仿宋_GB2312" w:hAnsi="仿宋" w:eastAsia="仿宋_GB2312"/>
          <w:sz w:val="32"/>
          <w:szCs w:val="32"/>
        </w:rPr>
        <w:t>，</w:t>
      </w:r>
      <w:r>
        <w:rPr>
          <w:rFonts w:ascii="仿宋_GB2312" w:hAnsi="仿宋" w:eastAsia="仿宋_GB2312"/>
          <w:sz w:val="32"/>
          <w:szCs w:val="32"/>
        </w:rPr>
        <w:t>累计投资金额不低于基金实缴规模的70%。</w:t>
      </w:r>
    </w:p>
    <w:p w14:paraId="58647777">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2.五选三政策目标：</w:t>
      </w:r>
    </w:p>
    <w:p w14:paraId="04E9CE09">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（1）子基金存续期内培育或孵化专精特新中小企业不得少于3个，或专精特新“小巨人”企业不得少于1个；</w:t>
      </w:r>
    </w:p>
    <w:p w14:paraId="1891D14A">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（2）子基金所投项目在深圳的纳税金额，累计不低于种子基金在该子基金的出资金额；</w:t>
      </w:r>
    </w:p>
    <w:p w14:paraId="2D16C931">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（3）子基金所投项目在获得子基金投资后，在深圳主体累计新增获得授权的专利数量不得低于20个；</w:t>
      </w:r>
    </w:p>
    <w:p w14:paraId="5E313750">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（4）子基金所投项目中，被评定为国家级高新技术企业对应至子基金所投项目的金额，不得低于所投项目总金额的50%；</w:t>
      </w:r>
    </w:p>
    <w:p w14:paraId="2123E217">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（5）子基金对种子项目库的项目投资金额，不得低于子基金实缴规模的10%。</w:t>
      </w:r>
    </w:p>
    <w:p w14:paraId="78A540A7">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上述政策目标的实现情况将在种子基金自子基金退出时纳入子基金最终整体评价指标，管理</w:t>
      </w:r>
      <w:r>
        <w:rPr>
          <w:rFonts w:hint="eastAsia" w:ascii="仿宋_GB2312" w:hAnsi="仿宋" w:eastAsia="仿宋_GB2312"/>
          <w:sz w:val="32"/>
          <w:szCs w:val="32"/>
        </w:rPr>
        <w:t>公司</w:t>
      </w:r>
      <w:r>
        <w:rPr>
          <w:rFonts w:ascii="仿宋_GB2312" w:hAnsi="仿宋" w:eastAsia="仿宋_GB2312"/>
          <w:sz w:val="32"/>
          <w:szCs w:val="32"/>
        </w:rPr>
        <w:t>将依据子基金绩效评价相关制度对评价结果进行应用。</w:t>
      </w:r>
    </w:p>
    <w:p w14:paraId="324CA2C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十二）投资决策：子基金的发起设立、投资管理、业绩奖励等按照市场化方式独立运作，自主经营，自负盈亏。管理公司有权向子基金派出代表，监督子基金的投资和运作，但不参与子基金的日常管理。管理公司对子基金违反合伙协议/公司章程/基金合同、本申报指南及遴选办法及国家相关规定的投资项目，享有一票否决权。</w:t>
      </w:r>
    </w:p>
    <w:p w14:paraId="25FDB69D">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（十三）风险控制：</w:t>
      </w:r>
    </w:p>
    <w:p w14:paraId="115359DD">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1.子基金不得从事以下业务：</w:t>
      </w:r>
    </w:p>
    <w:p w14:paraId="45AB28E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（1）担保、抵押、委托贷款等业务。</w:t>
      </w:r>
    </w:p>
    <w:p w14:paraId="524E34C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（2）投资高风险资产，包括二级市场股票、期货、房地产、评级AAA以下的企业债等；投资非本金安全型金融产品，包括信托计划、证券投资基金、保险计划及其他金融衍生品等。</w:t>
      </w:r>
    </w:p>
    <w:p w14:paraId="1D4AF1D0">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（3）向任何第三方提供赞助、捐赠（经批准的公益性捐赠除外）。</w:t>
      </w:r>
    </w:p>
    <w:p w14:paraId="5F2B6B4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（4）吸收或变相吸收存款，或向第三方提供贷款和资金拆借（以股权投资为目的可转债除外，但不得从事明股实债）。</w:t>
      </w:r>
    </w:p>
    <w:p w14:paraId="1FBFCE9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（5）进行承担无限连带责任的对外投资。</w:t>
      </w:r>
    </w:p>
    <w:p w14:paraId="1C659FD2">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（6）发行信托或集合理财产品募集资金。</w:t>
      </w:r>
    </w:p>
    <w:p w14:paraId="01B105C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（7）其他《深圳市政府投资引导基金管理办法》、《深圳市天使投资引导基金实施细则》、《深圳市科技创新种子基金实施细则》及国家法律法规禁止从事的业务。</w:t>
      </w:r>
    </w:p>
    <w:p w14:paraId="00B3B534">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2.专注度要求</w:t>
      </w:r>
    </w:p>
    <w:p w14:paraId="093B4AC2">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子基金合伙协议/公司章程/基金合同须对子基金管理团队（含子基金投委会委员）的核心人员进行锁定，被锁定人员如发生人员变动须经合伙人大会/股东（大）会/持有人大会等子基金相关权利机构表决通过。在子基金完成70%的投资进度之前，锁定的管理团队（含子基金投委会委员）核心人员不得参与相同阶段、领域和地域的基金，不得作为上述基金的关键人。</w:t>
      </w:r>
    </w:p>
    <w:p w14:paraId="6A129E8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3.资金托管</w:t>
      </w:r>
    </w:p>
    <w:p w14:paraId="6759C371">
      <w:pPr>
        <w:widowControl/>
        <w:shd w:val="clear" w:color="auto" w:fill="FFFFFF"/>
        <w:spacing w:line="560" w:lineRule="exact"/>
        <w:ind w:firstLine="640" w:firstLineChars="200"/>
        <w:rPr>
          <w:rFonts w:hint="eastAsia" w:ascii="仿宋_GB2312" w:hAnsi="仿宋" w:eastAsia="仿宋_GB2312"/>
          <w:sz w:val="32"/>
          <w:szCs w:val="32"/>
        </w:rPr>
      </w:pPr>
      <w:r>
        <w:rPr>
          <w:rFonts w:ascii="仿宋_GB2312" w:hAnsi="仿宋" w:eastAsia="仿宋_GB2312"/>
          <w:sz w:val="32"/>
          <w:szCs w:val="32"/>
        </w:rPr>
        <w:t>子基金应委托中国境内具有托管资质且在深圳具有业务开展资质的商业银行（或其他金融机构）进行托管，经子基金全体出资人（非关联方）一致同意。</w:t>
      </w:r>
      <w:r>
        <w:rPr>
          <w:rFonts w:hint="eastAsia" w:ascii="仿宋_GB2312" w:hAnsi="仿宋" w:eastAsia="仿宋_GB2312"/>
          <w:sz w:val="32"/>
          <w:szCs w:val="32"/>
        </w:rPr>
        <w:t>托管机构接受子基金委托并签订资产托管协议，按照托管协议开展账户管理、资金划拨、资金清算、资金保管等事务，对基金资产进行全程保管及监控，确保子基金按约定方向投资，并定期向管理公司及出资人提交银行托管报告。</w:t>
      </w:r>
    </w:p>
    <w:p w14:paraId="49BFACE0">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子基金的闲置资金只能投资于银行存款、国债、地方政府债、政策性金融债、政府支持债券等安全性和流动性较好的资产。</w:t>
      </w:r>
    </w:p>
    <w:p w14:paraId="1F5057F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4.种子基金强制清算及退出权</w:t>
      </w:r>
    </w:p>
    <w:p w14:paraId="1D9CD14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子基金管理机构投资未按照本申报指南及遴选办法、子基金合伙协议/公司章程/基金合同约定执行的，管理公司可责成其限期整改并</w:t>
      </w:r>
      <w:r>
        <w:rPr>
          <w:rFonts w:ascii="仿宋_GB2312" w:hAnsi="仿宋" w:eastAsia="仿宋_GB2312"/>
          <w:sz w:val="32"/>
          <w:szCs w:val="32"/>
        </w:rPr>
        <w:t>视情况采取减资、扣减管理费、暂停该基金投资等措施</w:t>
      </w:r>
      <w:r>
        <w:rPr>
          <w:rFonts w:hint="eastAsia" w:ascii="仿宋_GB2312" w:hAnsi="仿宋" w:eastAsia="仿宋_GB2312"/>
          <w:sz w:val="32"/>
          <w:szCs w:val="32"/>
        </w:rPr>
        <w:t>。对整改合格的子基金，管理公司将恢复其正常运营；对整改不合格的子基金，管理公司有权启动子基金清算程序，并通报市科技创新局和市财政局。</w:t>
      </w:r>
    </w:p>
    <w:p w14:paraId="684C8CC1">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子基金设立方案自公示期结束且无异议之日起超过一年，子基金管理机构仍未与种子基金签署合伙协议/公司章程/基金合同的，种子基金相关投资决策文件失效，子基金管理机构可另行申请。</w:t>
      </w:r>
    </w:p>
    <w:p w14:paraId="09E0AA7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5.信息披露</w:t>
      </w:r>
    </w:p>
    <w:p w14:paraId="0AF971D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子基金管理机构应当建立子基金重大事项披露制度。子基金须定期向管理公司及出资人提交子基金运营报告、经审计的子基金财务报告和银行托管报告等，管理公司视工作需要有权委托专业机构对子基金进行审计。</w:t>
      </w:r>
    </w:p>
    <w:p w14:paraId="4D69254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6.奖惩机制</w:t>
      </w:r>
    </w:p>
    <w:p w14:paraId="55756A2B">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子基金管理机构在子基金运营中存在违法违规违约行为的，管理公司将视情节严重程度采取公开曝光、行业谴责、强制退出等措施，追究其相应责任。子基金管理机构存在严重违法违规的情形，自该等行为或情形发生之日起五年内，子基金管理机构以及相关人员不得向种子基金申请设立新的子基金。如果在子基金投资期内，子基金年度绩效考核不合格，则种子基金、区引导基金有权暂停出资并责令子基金管理机构整改。对严格遵照本申报指南及遴选办法和带来良好回报的子基金管理机构设置信用加分项，优先通过下一期种子基金的配资审批工作。</w:t>
      </w:r>
    </w:p>
    <w:p w14:paraId="55C927D5">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（十四）种子基金有权在其他出资人（政府引导基金除外）的当期出资款项总额全部实际到位后，由种子基金按程序同比例拨付至子基金账户。</w:t>
      </w:r>
    </w:p>
    <w:p w14:paraId="1593830B">
      <w:pPr>
        <w:widowControl/>
        <w:shd w:val="clear" w:color="auto" w:fill="FFFFFF"/>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五、子基金的退出和终止</w:t>
      </w:r>
    </w:p>
    <w:p w14:paraId="57170454">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一）分配退出。子基金从所投项目中的退出资金，按照“退出项目即退即分，基金整体先回本后分利”原则进行分配。子基金投资项目退出后，投资回收资金不得再用于对外投资，须90天内按合伙协议/公司章程/基金合同约定向投资人进行分配。当子基金整体实现退出时，子基金为有限合伙制的，应优先向有限合伙人按照实缴出资比例返还实缴出资金额，再向普通合伙人返还实缴出资金额。直至各出资人收回全部实缴出资，剩余的投资收益再按照子基金合伙协议等约定的方式予以分配；公司制/契约制基金按照公司章程/基金合同约定的方式向投资人进行分配。</w:t>
      </w:r>
    </w:p>
    <w:p w14:paraId="74EE4144">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（二）回购退出。在子基金存续期内，若子基金满足本申报指南及遴选办法要求，子基金管理机构或其指定的第三方可申请对种子基金出资部分进行回购。</w:t>
      </w:r>
    </w:p>
    <w:p w14:paraId="734AB33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1.回购价格按以下原则确定：</w:t>
      </w:r>
    </w:p>
    <w:p w14:paraId="13CABD12">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（1）种子基金所持有子基金份额在3年以内（含3年）的，回购价格参照种子基金原始投资额确定。</w:t>
      </w:r>
    </w:p>
    <w:p w14:paraId="63C41EE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种子基金所持有子基金份额在3年以上5年以内（含5年）的，如累计分红高于同期银行贷款基准利率计算的利息，回购价格参照种子基金原始投资额确定；如累计分红不足同期银行贷款基准利率计算的利息，则回购价格按照原始投资额加上同期银行贷款基准利率计算的利息与累计分红的差额之和确定。</w:t>
      </w:r>
    </w:p>
    <w:p w14:paraId="75E242B4">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（3）种子基金所持有子基金份额超过5年的，回购价格按照公共财政原则和种子基金运作要求，按照市场化方式退出。</w:t>
      </w:r>
    </w:p>
    <w:p w14:paraId="0425FBD7">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（4）上述涉及的种子基金持有子基金份额期间，以子基金完成种子基金持有份额的首次工商登记之日起，提出有效回购申请之日止。执行回购过程中所产生的增值税由回购方承担，所得税由各自承担。</w:t>
      </w:r>
    </w:p>
    <w:p w14:paraId="403B11BD">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2.回购退出程序：</w:t>
      </w:r>
    </w:p>
    <w:p w14:paraId="35246710">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（1）申请。满足条件的子基金管理机构或其指定的第三方可向管理公司提出回购申请,子基金管理机构应当及时召集合伙人大会/股东（大）会/持有人大会审议回购方案，并形成会议决议。</w:t>
      </w:r>
    </w:p>
    <w:p w14:paraId="50929DC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（2）审核。管理公司委托第三方对回购申请是否符合本申报指南及遴选办法规定进行尽职调查，并依据尽职调查结论提出审核意见。</w:t>
      </w:r>
    </w:p>
    <w:p w14:paraId="23BB309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（3）决策。完成审核后，管理公司将回购申请和审核意见提交种子基金投委会进行决策。</w:t>
      </w:r>
    </w:p>
    <w:p w14:paraId="5F43AFCD">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（4）公示。管理公司对拟采取的回购方案进行社会公示，公示期为5个工作日。公示有异议的，启动相关调查程序。</w:t>
      </w:r>
    </w:p>
    <w:p w14:paraId="42BC25FC">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（5）执行。社会公示无异议或者有异议但经调查异议不成立的，种子基金将及时与子基金管理机构及其他出资人签署回购的相关法律文件并遵照执行。</w:t>
      </w:r>
    </w:p>
    <w:p w14:paraId="06A37A7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（6）回购申请方案中确定的回购方应采用一次交割的方式进行回购，且回购交割的时间不得超过形成回购公示结束之日起6个月，回购款支付完毕前不得办理工商变更登记。</w:t>
      </w:r>
    </w:p>
    <w:p w14:paraId="0187974C">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三）让利退出。为鼓励子基金投资于在深圳注册的种子项目，子基金各出资人收回全部实缴出资后，若子基金满足本申报指南及遴选办法要求且实现盈利的，种子基金可将子基金投资于深圳地区项目超过一定比例基准收益的超额收益，最高可</w:t>
      </w:r>
      <w:r>
        <w:rPr>
          <w:rFonts w:ascii="仿宋_GB2312" w:hAnsi="仿宋" w:eastAsia="仿宋_GB2312"/>
          <w:sz w:val="32"/>
          <w:szCs w:val="32"/>
        </w:rPr>
        <w:t>100%</w:t>
      </w:r>
      <w:r>
        <w:rPr>
          <w:rFonts w:hint="eastAsia" w:ascii="仿宋_GB2312" w:hAnsi="仿宋" w:eastAsia="仿宋_GB2312"/>
          <w:sz w:val="32"/>
          <w:szCs w:val="32"/>
        </w:rPr>
        <w:t>让渡给社会资本，但不得超过种子基金从子基金获得的全部收益，不得承诺子基金管理机构及其他出资人投资本金不受损失，不得承诺最低收益，国家另有规定的除外。尽管有上述规定，子基金管理人及其他非种子基金出资人获得的让利总金额以种子基金实缴出资金额为限，超出部分种子基金不予让利。让利退出具体细则在绩效评价办法等文件中另行规定。</w:t>
      </w:r>
    </w:p>
    <w:p w14:paraId="0C978211">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四）清算退出。子基金在发生清算（包括解散和破产）时，按照法律程序清偿债权人的债权后，剩余财产按照同股同权原则分配。种子基金以出资额为限承担有限责任。子基金存续期结束仍未能完成清算又不选择回购的，种子基金有权处置其持有的基金份额且不予让利。</w:t>
      </w:r>
    </w:p>
    <w:p w14:paraId="6E7A5307">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（五）强制退出。</w:t>
      </w:r>
    </w:p>
    <w:p w14:paraId="65D028CE">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有下列情况之一的，种子基金、区引导基金有权提前退出并可采取要求子基金管理机构退还管理费、取消让利及后续合作资格等惩罚措施，种子基金、区引导基金持有的子基金份额须由子基金管理机构和其他出资人或其指定主体受让，子基金管理机构及其他出资人须签署一切必要的文件并履行所有必要的程序以确保种子基金、区引导基金退出，退出价格按照种子基金、区引导基金已实缴金额加上同期贷款利息。因种子基金、区引导基金退出而产生的风险和损失由子基金管理机构承担（若子基金管理机构与子基金申请机构不一致，则由子基金申请机构与子基金管理机构承担连带责任），以上事项均纳入子基金合伙协议：</w:t>
      </w:r>
    </w:p>
    <w:p w14:paraId="7DBA4B0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（1）签订合伙协议/公司章程/基金合同后，未在6个月内完成子基金工商设立登记。</w:t>
      </w:r>
    </w:p>
    <w:p w14:paraId="6EDCACAC">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（2）子基金完成工商设立登记后，除种子基金、区引导基金以外的出资人未在6个月内完成首轮出资。</w:t>
      </w:r>
    </w:p>
    <w:p w14:paraId="22D9229F">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（3）首轮出资拨付至子基金账户后，子基金未开展投资业务超过6个月。</w:t>
      </w:r>
    </w:p>
    <w:p w14:paraId="7F11E30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（4）子基金未按合伙协议/公司章程/基金合同约定投资且未能有效整改。</w:t>
      </w:r>
    </w:p>
    <w:p w14:paraId="6C3FAFB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（5）子基金运营因违法违规行为被依法查处。</w:t>
      </w:r>
    </w:p>
    <w:p w14:paraId="62455C4B">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6）子基金管理机构发生实质性变化且未经子基金合伙人大会/股东（大）会/持有人大会审议通过。实质性变化包括但不限于：子基金管理机构的主要股东发生实质性变化、锁定的子基金种子基金投委会委员半数（含）以上发生变化等情况。</w:t>
      </w:r>
    </w:p>
    <w:p w14:paraId="19F28E7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（7）子基金管理机构连续2年绩效考核不合格且整改未达标。</w:t>
      </w:r>
    </w:p>
    <w:p w14:paraId="0950A10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（8）子基金出现重大审计问题且限定期限内未能整改完成的。</w:t>
      </w:r>
    </w:p>
    <w:p w14:paraId="753D968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（9）</w:t>
      </w:r>
      <w:r>
        <w:rPr>
          <w:rFonts w:ascii="仿宋_GB2312" w:hAnsi="仿宋" w:eastAsia="仿宋_GB2312"/>
          <w:sz w:val="32"/>
          <w:szCs w:val="32"/>
        </w:rPr>
        <w:t>主管部门认定本基金严重违反本</w:t>
      </w:r>
      <w:r>
        <w:rPr>
          <w:rFonts w:hint="eastAsia" w:ascii="仿宋_GB2312" w:hAnsi="仿宋" w:eastAsia="仿宋_GB2312"/>
          <w:sz w:val="32"/>
          <w:szCs w:val="32"/>
        </w:rPr>
        <w:t>申报指南及遴选办法</w:t>
      </w:r>
      <w:r>
        <w:rPr>
          <w:rFonts w:ascii="仿宋_GB2312" w:hAnsi="仿宋" w:eastAsia="仿宋_GB2312"/>
          <w:sz w:val="32"/>
          <w:szCs w:val="32"/>
        </w:rPr>
        <w:t>规定，且该子基金未在主管部门给定合理时间内整改完毕的。</w:t>
      </w:r>
    </w:p>
    <w:p w14:paraId="5982857B">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2.强制退出程序：</w:t>
      </w:r>
    </w:p>
    <w:p w14:paraId="53BE0015">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（1）决策退出。管理公司向种子基金投委会汇报子基金或子基金管理机构存在种子基金有权要求强制退出的情况，种子基金投委会根据具体情况做出退出或者不退出的决策。</w:t>
      </w:r>
    </w:p>
    <w:p w14:paraId="62EBD4A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（2）方案拟定及审查。子基金管理机构收到管理公司发出的退出通知后，应在</w:t>
      </w:r>
      <w:r>
        <w:rPr>
          <w:rFonts w:ascii="仿宋_GB2312" w:hAnsi="仿宋" w:eastAsia="仿宋_GB2312"/>
          <w:sz w:val="32"/>
          <w:szCs w:val="32"/>
        </w:rPr>
        <w:t>3</w:t>
      </w:r>
      <w:r>
        <w:rPr>
          <w:rFonts w:hint="eastAsia" w:ascii="仿宋_GB2312" w:hAnsi="仿宋" w:eastAsia="仿宋_GB2312"/>
          <w:sz w:val="32"/>
          <w:szCs w:val="32"/>
        </w:rPr>
        <w:t>个月内制定符合本申报指南及遴选办法相关规定的种子基金初步退出方案；管理公司委托第三方机构对初步退出方案是否符合本申报指南及遴选办法规定出具法律意见，合伙协议对于退出价格另有约定的，管理公司还应当按照约定履行相应的价格计算和评估程序（如须），结合上述文件，管理公司形成子基金最终退出方案；若子基金管理机构未能在上述限期内提出符合本申报指南及遴选办法相关规定的初步退出方案，由管理公司直接拟定相关退出方案。</w:t>
      </w:r>
    </w:p>
    <w:p w14:paraId="452DD869">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（3）方案决策。管理公司将前述退出方案提交种子基金投委会进行决策。</w:t>
      </w:r>
    </w:p>
    <w:p w14:paraId="4407EBA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文件签署及执行。退出方案经种子基金投委会决策后，子基金管理机构应当执行退出方案，并确保其他出资人配合执行，包括但不限于完成子基金决策程序、签署法律文件、支付退出款项及办理工商登记等。</w:t>
      </w:r>
    </w:p>
    <w:p w14:paraId="3176F891">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3.在退出方案通过种子基金投委会决策后</w:t>
      </w:r>
      <w:r>
        <w:rPr>
          <w:rFonts w:ascii="仿宋_GB2312" w:hAnsi="仿宋" w:eastAsia="仿宋_GB2312"/>
          <w:sz w:val="32"/>
          <w:szCs w:val="32"/>
        </w:rPr>
        <w:t>6</w:t>
      </w:r>
      <w:r>
        <w:rPr>
          <w:rFonts w:hint="eastAsia" w:ascii="仿宋_GB2312" w:hAnsi="仿宋" w:eastAsia="仿宋_GB2312"/>
          <w:sz w:val="32"/>
          <w:szCs w:val="32"/>
        </w:rPr>
        <w:t>个月内，种子基金未能完成退出的，或子基金管理机构或子基金其他出资人未配合签署、办理退出所须的相关文件、手续的，种子基金有权采取必要的法律手段要求子基金申请机构和管理机构或其指定主体回购种子基金全部基金份额。此外，种子基金亦可根据种子基金投委会的决策，通过下述第（六）款规定的将份额转让给其他受让方等其他方式退出。</w:t>
      </w:r>
    </w:p>
    <w:p w14:paraId="7A50CEC1">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（六）其他退出。</w:t>
      </w:r>
    </w:p>
    <w:p w14:paraId="0918A9AB">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1.其他退出是指种子基金未能通过上述方式退出的，可根据届时有效的法律法规通过挂牌、进场交易等方式退出。</w:t>
      </w:r>
    </w:p>
    <w:p w14:paraId="1231B9CC">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2.子基金管理机构应当在退出方案决策通过后及时根据子基金合伙协议/公司章程/基金合同约定履行相应决策程序，并形成决议。</w:t>
      </w:r>
    </w:p>
    <w:p w14:paraId="18B19530">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3.子基金管理机构及其他出资人须签署一切必要的文件或履行所有必要的程序以确保种子基金退出，其他非财政出资人在同等条件下有优先受让权。</w:t>
      </w:r>
    </w:p>
    <w:p w14:paraId="103D61D6">
      <w:pPr>
        <w:widowControl/>
        <w:shd w:val="clear" w:color="auto" w:fill="FFFFFF"/>
        <w:spacing w:line="560" w:lineRule="exact"/>
        <w:ind w:firstLine="640" w:firstLineChars="200"/>
        <w:rPr>
          <w:rFonts w:hint="eastAsia" w:ascii="黑体" w:hAnsi="黑体" w:eastAsia="黑体"/>
          <w:sz w:val="32"/>
          <w:szCs w:val="32"/>
        </w:rPr>
      </w:pPr>
      <w:r>
        <w:rPr>
          <w:rFonts w:hint="eastAsia" w:ascii="黑体" w:hAnsi="黑体" w:eastAsia="黑体"/>
          <w:sz w:val="32"/>
          <w:szCs w:val="32"/>
        </w:rPr>
        <w:t>六、子基金申报流程</w:t>
      </w:r>
    </w:p>
    <w:p w14:paraId="1DDF0884">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（一）公开征集</w:t>
      </w:r>
    </w:p>
    <w:p w14:paraId="10566528">
      <w:pPr>
        <w:spacing w:line="560" w:lineRule="exact"/>
        <w:ind w:firstLine="640" w:firstLineChars="200"/>
        <w:rPr>
          <w:rFonts w:hint="eastAsia" w:ascii="仿宋_GB2312" w:hAnsi="仿宋_GB2312" w:eastAsia="仿宋_GB2312" w:cs="仿宋"/>
          <w:color w:val="000000" w:themeColor="text1"/>
          <w:sz w:val="32"/>
          <w:szCs w:val="32"/>
          <w14:textFill>
            <w14:solidFill>
              <w14:schemeClr w14:val="tx1"/>
            </w14:solidFill>
          </w14:textFill>
        </w:rPr>
      </w:pPr>
      <w:r>
        <w:rPr>
          <w:rFonts w:hint="eastAsia" w:ascii="仿宋_GB2312" w:hAnsi="仿宋" w:eastAsia="仿宋_GB2312"/>
          <w:sz w:val="32"/>
          <w:szCs w:val="32"/>
        </w:rPr>
        <w:t>管理公司按照年度投资计划和投资方向，面向社会发布种子基金申报指南及遴选办法。拟申请种子基金出资的子基金申请机构，请登陆官网（www.tsfof.com）自助下载相关材料或通过电话咨询（0755-26165888）。子基金申请机构根据申报指南及遴选办法编制子基金设立方案，向管理公司进行申报，管理公司对设立方案进行初审。</w:t>
      </w:r>
      <w:r>
        <w:rPr>
          <w:rFonts w:hint="eastAsia" w:ascii="仿宋_GB2312" w:eastAsia="仿宋_GB2312" w:cs="仿宋_GB2312"/>
          <w:sz w:val="32"/>
          <w:szCs w:val="32"/>
        </w:rPr>
        <w:t>申请采取递交电子材料和纸质材料相结合的方式。请申请机构先将包括盖章扫描版及word版的电子材料发送至官方邮箱（tsfof@tsfof.com），经管理公司初审认为无须补充的，再提交纸质材料。纸质材料需要正本1本和副本6本，正副本均需加盖骑缝章。申请机构对申请材料的合法性、真实性、有效性、一致性负完全责任。</w:t>
      </w:r>
    </w:p>
    <w:p w14:paraId="5D7361A8">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（二）初审立项</w:t>
      </w:r>
    </w:p>
    <w:p w14:paraId="2E7657B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管理公司初审后对材料齐备的子基金申请方案通过立项会进行择优遴选。</w:t>
      </w:r>
    </w:p>
    <w:p w14:paraId="0D10516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（三）尽职调查</w:t>
      </w:r>
    </w:p>
    <w:p w14:paraId="461016FD">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管理公司独立或委托第三方机构对子基金申请机构、管理机构及投资团队开展尽职调查，编制尽职调查报告，并提出投资建议。</w:t>
      </w:r>
    </w:p>
    <w:p w14:paraId="724ECCB0">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（四）投资决策</w:t>
      </w:r>
    </w:p>
    <w:p w14:paraId="540F618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管理公司</w:t>
      </w:r>
      <w:r>
        <w:rPr>
          <w:rFonts w:ascii="仿宋_GB2312" w:hAnsi="仿宋" w:eastAsia="仿宋_GB2312"/>
          <w:sz w:val="32"/>
          <w:szCs w:val="32"/>
        </w:rPr>
        <w:t>对子基金投向产业政策符合性提出初步核查意见，并将子基金设立方案、尽职调查报告、投资建议书等相关资料提交市科技创新局对种子基金投向进行产业政策符合性审查，再提交种子基金投委会进行决策。</w:t>
      </w:r>
    </w:p>
    <w:p w14:paraId="2BDAC1F5">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（五）社会公示</w:t>
      </w:r>
    </w:p>
    <w:p w14:paraId="024F907A">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管理公司将在种子基金投委会履行决策程序后10日内对拟投资子基金设立方案进行公示，公示期为5个工作日。公示有异议的，启动相关调查程序。</w:t>
      </w:r>
    </w:p>
    <w:p w14:paraId="41663BD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（六）法律文件的签署和资金拨付</w:t>
      </w:r>
    </w:p>
    <w:p w14:paraId="0A125E55">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社会公示无异议或者有异议但经调查异议不成立的，管理公司将及时与子基金管理机构开展子基金合伙协议/公司章程/基金合同等各项法律文件的起草、谈判、修订工作，形成最终版本后由种子基金签署盖章和进行资金拨付。</w:t>
      </w:r>
    </w:p>
    <w:p w14:paraId="7DB9A856">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（七）投资后管理及退出</w:t>
      </w:r>
    </w:p>
    <w:p w14:paraId="1DE9D8D3">
      <w:pPr>
        <w:widowControl/>
        <w:shd w:val="clear" w:color="auto" w:fill="FFFFFF"/>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管理公司负责开展投后管理，办理投资回收与退出，管理公司对子基金投后管理措施包括但不限于运作情况信息汇总、绩效评价、子基金投后事项的合规性审核等。</w:t>
      </w:r>
    </w:p>
    <w:p w14:paraId="63D1447C">
      <w:pPr>
        <w:widowControl/>
        <w:shd w:val="clear" w:color="auto" w:fill="FFFFFF"/>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本申报指南及遴选办法为种子基金申报和遴选的基本原则和要求，管理公司将根据种子基金的投资策略、产业方向及子基金设立方案进行遴选。本申报指南及遴选办法未明确规定的，参照深圳市政府投资引导基金、深圳市天使投资引导基金、深圳市科技创新种子基金相关规定执行，并在子基金合伙协议/公司章程/基金合同以及其他相关协议中约定。本申报指南及遴选办法自发布之日起实施，管理公司官网于2024年8月29日发布的《深圳市科技创新种子基金申报指南及遴选办法》不再执</w:t>
      </w:r>
      <w:bookmarkStart w:id="15" w:name="_GoBack"/>
      <w:bookmarkEnd w:id="15"/>
      <w:r>
        <w:rPr>
          <w:rFonts w:hint="eastAsia" w:ascii="仿宋_GB2312" w:eastAsia="仿宋_GB2312" w:cs="仿宋_GB2312"/>
          <w:sz w:val="32"/>
          <w:szCs w:val="32"/>
        </w:rPr>
        <w:t>行。</w:t>
      </w:r>
    </w:p>
    <w:p w14:paraId="78A21658">
      <w:pPr>
        <w:pStyle w:val="2"/>
      </w:pPr>
      <w:r>
        <w:br w:type="page"/>
      </w:r>
    </w:p>
    <w:p w14:paraId="5D25D75E">
      <w:pPr>
        <w:pStyle w:val="2"/>
        <w:jc w:val="both"/>
      </w:pPr>
      <w:r>
        <w:rPr>
          <w:rFonts w:hint="eastAsia" w:ascii="仿宋_GB2312" w:hAnsi="黑体" w:eastAsia="仿宋_GB2312" w:cs="宋体"/>
          <w:b/>
          <w:bCs/>
          <w:kern w:val="0"/>
          <w:sz w:val="32"/>
          <w:szCs w:val="32"/>
        </w:rPr>
        <w:t>附件</w:t>
      </w:r>
      <w:r>
        <w:rPr>
          <w:rFonts w:ascii="仿宋_GB2312" w:hAnsi="黑体" w:eastAsia="仿宋_GB2312" w:cs="宋体"/>
          <w:b/>
          <w:bCs/>
          <w:kern w:val="0"/>
          <w:sz w:val="32"/>
          <w:szCs w:val="32"/>
        </w:rPr>
        <w:t>1</w:t>
      </w:r>
    </w:p>
    <w:p w14:paraId="0FC41FD2">
      <w:pPr>
        <w:spacing w:line="560" w:lineRule="exact"/>
        <w:jc w:val="center"/>
        <w:rPr>
          <w:rFonts w:hint="eastAsia" w:ascii="方正小标宋简体" w:hAnsi="黑体" w:eastAsia="方正小标宋简体" w:cs="黑体"/>
          <w:sz w:val="44"/>
          <w:szCs w:val="44"/>
        </w:rPr>
      </w:pPr>
      <w:r>
        <w:rPr>
          <w:rFonts w:hint="eastAsia" w:ascii="方正小标宋简体" w:hAnsi="黑体" w:eastAsia="方正小标宋简体" w:cs="黑体"/>
          <w:sz w:val="44"/>
          <w:szCs w:val="44"/>
        </w:rPr>
        <w:t>子基金申请表</w:t>
      </w:r>
    </w:p>
    <w:p w14:paraId="720579A0">
      <w:pPr>
        <w:spacing w:line="560" w:lineRule="exact"/>
        <w:jc w:val="right"/>
        <w:rPr>
          <w:rFonts w:hint="eastAsia" w:ascii="黑体" w:hAnsi="黑体" w:eastAsia="黑体" w:cs="黑体"/>
          <w:sz w:val="24"/>
        </w:rPr>
      </w:pPr>
      <w:r>
        <w:rPr>
          <w:rFonts w:hint="eastAsia" w:ascii="黑体" w:hAnsi="黑体" w:eastAsia="黑体" w:cs="黑体"/>
          <w:sz w:val="24"/>
        </w:rPr>
        <w:t>（</w:t>
      </w:r>
      <w:r>
        <w:rPr>
          <w:rFonts w:hint="eastAsia" w:ascii="宋体" w:hAnsi="宋体" w:cs="黑体"/>
          <w:sz w:val="24"/>
        </w:rPr>
        <w:t>公章</w:t>
      </w:r>
      <w:r>
        <w:rPr>
          <w:rFonts w:hint="eastAsia" w:ascii="黑体" w:hAnsi="黑体" w:eastAsia="黑体" w:cs="黑体"/>
          <w:sz w:val="24"/>
        </w:rPr>
        <w:t>）</w:t>
      </w:r>
    </w:p>
    <w:tbl>
      <w:tblPr>
        <w:tblStyle w:val="10"/>
        <w:tblW w:w="93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3"/>
        <w:gridCol w:w="1225"/>
        <w:gridCol w:w="1984"/>
        <w:gridCol w:w="1843"/>
        <w:gridCol w:w="2536"/>
      </w:tblGrid>
      <w:tr w14:paraId="4CFD3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9341" w:type="dxa"/>
            <w:gridSpan w:val="5"/>
            <w:shd w:val="clear" w:color="000000" w:fill="FFFFFF"/>
            <w:vAlign w:val="center"/>
          </w:tcPr>
          <w:p w14:paraId="5717F41F">
            <w:pPr>
              <w:autoSpaceDE w:val="0"/>
              <w:autoSpaceDN w:val="0"/>
              <w:adjustRightInd w:val="0"/>
              <w:spacing w:line="560" w:lineRule="exact"/>
              <w:rPr>
                <w:rFonts w:ascii="宋体" w:hAnsi="?????" w:cs="宋体"/>
                <w:kern w:val="0"/>
                <w:sz w:val="24"/>
                <w:szCs w:val="24"/>
                <w:lang w:val="zh-CN"/>
              </w:rPr>
            </w:pPr>
            <w:r>
              <w:rPr>
                <w:rFonts w:hint="eastAsia" w:ascii="黑体" w:hAnsi="?????" w:eastAsia="黑体" w:cs="黑体"/>
                <w:kern w:val="0"/>
                <w:sz w:val="24"/>
                <w:szCs w:val="24"/>
                <w:lang w:val="zh-CN"/>
              </w:rPr>
              <w:t>一、申请机构</w:t>
            </w:r>
          </w:p>
        </w:tc>
      </w:tr>
      <w:tr w14:paraId="73D7F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753" w:type="dxa"/>
            <w:shd w:val="clear" w:color="000000" w:fill="FFFFFF"/>
            <w:vAlign w:val="center"/>
          </w:tcPr>
          <w:p w14:paraId="2899D2B4">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机构名称</w:t>
            </w:r>
          </w:p>
        </w:tc>
        <w:tc>
          <w:tcPr>
            <w:tcW w:w="3209" w:type="dxa"/>
            <w:gridSpan w:val="2"/>
            <w:shd w:val="clear" w:color="000000" w:fill="FFFFFF"/>
            <w:vAlign w:val="center"/>
          </w:tcPr>
          <w:p w14:paraId="3034FF1C">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843" w:type="dxa"/>
            <w:shd w:val="clear" w:color="000000" w:fill="FFFFFF"/>
            <w:vAlign w:val="center"/>
          </w:tcPr>
          <w:p w14:paraId="7C2BA617">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法定代表人</w:t>
            </w:r>
            <w:r>
              <w:rPr>
                <w:rFonts w:ascii="宋体" w:hAnsi="宋体" w:cs="??_GB2312"/>
                <w:kern w:val="0"/>
                <w:sz w:val="24"/>
                <w:szCs w:val="24"/>
              </w:rPr>
              <w:t>/</w:t>
            </w:r>
            <w:r>
              <w:rPr>
                <w:rFonts w:hint="eastAsia" w:ascii="宋体" w:hAnsi="宋体" w:cs="宋体"/>
                <w:kern w:val="0"/>
                <w:sz w:val="24"/>
                <w:szCs w:val="24"/>
                <w:lang w:val="zh-CN"/>
              </w:rPr>
              <w:t>执行事务合伙人</w:t>
            </w:r>
          </w:p>
        </w:tc>
        <w:tc>
          <w:tcPr>
            <w:tcW w:w="2536" w:type="dxa"/>
            <w:shd w:val="clear" w:color="000000" w:fill="FFFFFF"/>
            <w:vAlign w:val="center"/>
          </w:tcPr>
          <w:p w14:paraId="318FC727">
            <w:pPr>
              <w:keepNext/>
              <w:keepLines/>
              <w:autoSpaceDE w:val="0"/>
              <w:autoSpaceDN w:val="0"/>
              <w:adjustRightInd w:val="0"/>
              <w:spacing w:before="260" w:after="260" w:line="560" w:lineRule="exact"/>
              <w:rPr>
                <w:rFonts w:hint="eastAsia" w:ascii="宋体" w:hAnsi="宋体" w:cs="宋体"/>
                <w:kern w:val="0"/>
                <w:sz w:val="24"/>
                <w:szCs w:val="24"/>
                <w:lang w:val="zh-CN"/>
              </w:rPr>
            </w:pPr>
          </w:p>
        </w:tc>
      </w:tr>
      <w:tr w14:paraId="6BBCF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1753" w:type="dxa"/>
            <w:shd w:val="clear" w:color="000000" w:fill="FFFFFF"/>
            <w:vAlign w:val="center"/>
          </w:tcPr>
          <w:p w14:paraId="3EC49667">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注册地址</w:t>
            </w:r>
          </w:p>
        </w:tc>
        <w:tc>
          <w:tcPr>
            <w:tcW w:w="3209" w:type="dxa"/>
            <w:gridSpan w:val="2"/>
            <w:shd w:val="clear" w:color="000000" w:fill="FFFFFF"/>
            <w:vAlign w:val="center"/>
          </w:tcPr>
          <w:p w14:paraId="16CAB248">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843" w:type="dxa"/>
            <w:shd w:val="clear" w:color="000000" w:fill="FFFFFF"/>
            <w:vAlign w:val="center"/>
          </w:tcPr>
          <w:p w14:paraId="792624DB">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组织机构代码</w:t>
            </w:r>
          </w:p>
        </w:tc>
        <w:tc>
          <w:tcPr>
            <w:tcW w:w="2536" w:type="dxa"/>
            <w:shd w:val="clear" w:color="000000" w:fill="FFFFFF"/>
            <w:vAlign w:val="center"/>
          </w:tcPr>
          <w:p w14:paraId="4760E84F">
            <w:pPr>
              <w:keepNext/>
              <w:keepLines/>
              <w:autoSpaceDE w:val="0"/>
              <w:autoSpaceDN w:val="0"/>
              <w:adjustRightInd w:val="0"/>
              <w:spacing w:before="260" w:after="260" w:line="560" w:lineRule="exact"/>
              <w:rPr>
                <w:rFonts w:hint="eastAsia" w:ascii="宋体" w:hAnsi="宋体" w:cs="宋体"/>
                <w:kern w:val="0"/>
                <w:sz w:val="24"/>
                <w:szCs w:val="24"/>
                <w:lang w:val="zh-CN"/>
              </w:rPr>
            </w:pPr>
          </w:p>
        </w:tc>
      </w:tr>
      <w:tr w14:paraId="426EB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753" w:type="dxa"/>
            <w:shd w:val="clear" w:color="000000" w:fill="FFFFFF"/>
            <w:vAlign w:val="center"/>
          </w:tcPr>
          <w:p w14:paraId="4B63DA22">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注册资本</w:t>
            </w:r>
            <w:r>
              <w:rPr>
                <w:rFonts w:ascii="宋体" w:hAnsi="宋体" w:cs="??_GB2312"/>
                <w:kern w:val="0"/>
                <w:sz w:val="24"/>
                <w:szCs w:val="24"/>
              </w:rPr>
              <w:t>/</w:t>
            </w:r>
            <w:r>
              <w:rPr>
                <w:rFonts w:hint="eastAsia" w:ascii="宋体" w:hAnsi="宋体" w:cs="宋体"/>
                <w:kern w:val="0"/>
                <w:sz w:val="24"/>
                <w:szCs w:val="24"/>
                <w:lang w:val="zh-CN"/>
              </w:rPr>
              <w:t>认缴出资总额</w:t>
            </w:r>
          </w:p>
        </w:tc>
        <w:tc>
          <w:tcPr>
            <w:tcW w:w="3209" w:type="dxa"/>
            <w:gridSpan w:val="2"/>
            <w:shd w:val="clear" w:color="000000" w:fill="FFFFFF"/>
            <w:vAlign w:val="center"/>
          </w:tcPr>
          <w:p w14:paraId="50B42131">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万元</w:t>
            </w:r>
          </w:p>
        </w:tc>
        <w:tc>
          <w:tcPr>
            <w:tcW w:w="1843" w:type="dxa"/>
            <w:shd w:val="clear" w:color="000000" w:fill="FFFFFF"/>
            <w:vAlign w:val="center"/>
          </w:tcPr>
          <w:p w14:paraId="296A42A6">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实缴资本</w:t>
            </w:r>
          </w:p>
        </w:tc>
        <w:tc>
          <w:tcPr>
            <w:tcW w:w="2536" w:type="dxa"/>
            <w:shd w:val="clear" w:color="000000" w:fill="FFFFFF"/>
            <w:vAlign w:val="center"/>
          </w:tcPr>
          <w:p w14:paraId="6C8B98B8">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万元</w:t>
            </w:r>
          </w:p>
        </w:tc>
      </w:tr>
      <w:tr w14:paraId="0D142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1753" w:type="dxa"/>
            <w:vMerge w:val="restart"/>
            <w:shd w:val="clear" w:color="000000" w:fill="FFFFFF"/>
            <w:vAlign w:val="center"/>
          </w:tcPr>
          <w:p w14:paraId="2B73EAF2">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联系人</w:t>
            </w:r>
          </w:p>
        </w:tc>
        <w:tc>
          <w:tcPr>
            <w:tcW w:w="1225" w:type="dxa"/>
            <w:shd w:val="clear" w:color="000000" w:fill="FFFFFF"/>
            <w:vAlign w:val="center"/>
          </w:tcPr>
          <w:p w14:paraId="1908FE1D">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姓名</w:t>
            </w:r>
          </w:p>
        </w:tc>
        <w:tc>
          <w:tcPr>
            <w:tcW w:w="1984" w:type="dxa"/>
            <w:shd w:val="clear" w:color="000000" w:fill="FFFFFF"/>
            <w:vAlign w:val="center"/>
          </w:tcPr>
          <w:p w14:paraId="09095ADB">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843" w:type="dxa"/>
            <w:shd w:val="clear" w:color="000000" w:fill="FFFFFF"/>
            <w:vAlign w:val="center"/>
          </w:tcPr>
          <w:p w14:paraId="46EF3F80">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职务</w:t>
            </w:r>
          </w:p>
        </w:tc>
        <w:tc>
          <w:tcPr>
            <w:tcW w:w="2536" w:type="dxa"/>
            <w:shd w:val="clear" w:color="000000" w:fill="FFFFFF"/>
            <w:vAlign w:val="center"/>
          </w:tcPr>
          <w:p w14:paraId="6363F753">
            <w:pPr>
              <w:keepNext/>
              <w:keepLines/>
              <w:autoSpaceDE w:val="0"/>
              <w:autoSpaceDN w:val="0"/>
              <w:adjustRightInd w:val="0"/>
              <w:spacing w:before="260" w:after="260" w:line="560" w:lineRule="exact"/>
              <w:rPr>
                <w:rFonts w:hint="eastAsia" w:ascii="宋体" w:hAnsi="宋体" w:cs="宋体"/>
                <w:kern w:val="0"/>
                <w:sz w:val="24"/>
                <w:szCs w:val="24"/>
                <w:lang w:val="zh-CN"/>
              </w:rPr>
            </w:pPr>
          </w:p>
        </w:tc>
      </w:tr>
      <w:tr w14:paraId="4954D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1753" w:type="dxa"/>
            <w:vMerge w:val="continue"/>
            <w:shd w:val="clear" w:color="000000" w:fill="FFFFFF"/>
            <w:vAlign w:val="center"/>
          </w:tcPr>
          <w:p w14:paraId="58F2BDB0">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225" w:type="dxa"/>
            <w:shd w:val="clear" w:color="000000" w:fill="FFFFFF"/>
            <w:vAlign w:val="center"/>
          </w:tcPr>
          <w:p w14:paraId="7363ECBD">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办公电话</w:t>
            </w:r>
          </w:p>
        </w:tc>
        <w:tc>
          <w:tcPr>
            <w:tcW w:w="1984" w:type="dxa"/>
            <w:shd w:val="clear" w:color="000000" w:fill="FFFFFF"/>
            <w:vAlign w:val="center"/>
          </w:tcPr>
          <w:p w14:paraId="5B7E0CC3">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843" w:type="dxa"/>
            <w:shd w:val="clear" w:color="000000" w:fill="FFFFFF"/>
            <w:vAlign w:val="center"/>
          </w:tcPr>
          <w:p w14:paraId="0DBC89A8">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手机</w:t>
            </w:r>
          </w:p>
        </w:tc>
        <w:tc>
          <w:tcPr>
            <w:tcW w:w="2536" w:type="dxa"/>
            <w:shd w:val="clear" w:color="000000" w:fill="FFFFFF"/>
            <w:vAlign w:val="center"/>
          </w:tcPr>
          <w:p w14:paraId="14F9AC54">
            <w:pPr>
              <w:keepNext/>
              <w:keepLines/>
              <w:autoSpaceDE w:val="0"/>
              <w:autoSpaceDN w:val="0"/>
              <w:adjustRightInd w:val="0"/>
              <w:spacing w:before="260" w:after="260" w:line="560" w:lineRule="exact"/>
              <w:rPr>
                <w:rFonts w:hint="eastAsia" w:ascii="宋体" w:hAnsi="宋体" w:cs="宋体"/>
                <w:kern w:val="0"/>
                <w:sz w:val="24"/>
                <w:szCs w:val="24"/>
                <w:lang w:val="zh-CN"/>
              </w:rPr>
            </w:pPr>
          </w:p>
        </w:tc>
      </w:tr>
      <w:tr w14:paraId="3A9D2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3" w:type="dxa"/>
            <w:vMerge w:val="continue"/>
            <w:shd w:val="clear" w:color="000000" w:fill="FFFFFF"/>
            <w:vAlign w:val="center"/>
          </w:tcPr>
          <w:p w14:paraId="560E1DFE">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225" w:type="dxa"/>
            <w:shd w:val="clear" w:color="000000" w:fill="FFFFFF"/>
            <w:vAlign w:val="center"/>
          </w:tcPr>
          <w:p w14:paraId="76A18997">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传真</w:t>
            </w:r>
          </w:p>
        </w:tc>
        <w:tc>
          <w:tcPr>
            <w:tcW w:w="1984" w:type="dxa"/>
            <w:shd w:val="clear" w:color="000000" w:fill="FFFFFF"/>
            <w:vAlign w:val="center"/>
          </w:tcPr>
          <w:p w14:paraId="2E284A69">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843" w:type="dxa"/>
            <w:shd w:val="clear" w:color="000000" w:fill="FFFFFF"/>
            <w:vAlign w:val="center"/>
          </w:tcPr>
          <w:p w14:paraId="5ABB6EFE">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电子邮箱</w:t>
            </w:r>
          </w:p>
        </w:tc>
        <w:tc>
          <w:tcPr>
            <w:tcW w:w="2536" w:type="dxa"/>
            <w:shd w:val="clear" w:color="000000" w:fill="FFFFFF"/>
            <w:vAlign w:val="center"/>
          </w:tcPr>
          <w:p w14:paraId="639DDFBC">
            <w:pPr>
              <w:keepNext/>
              <w:keepLines/>
              <w:autoSpaceDE w:val="0"/>
              <w:autoSpaceDN w:val="0"/>
              <w:adjustRightInd w:val="0"/>
              <w:spacing w:before="260" w:after="260" w:line="560" w:lineRule="exact"/>
              <w:rPr>
                <w:rFonts w:hint="eastAsia" w:ascii="宋体" w:hAnsi="宋体" w:cs="宋体"/>
                <w:kern w:val="0"/>
                <w:sz w:val="24"/>
                <w:szCs w:val="24"/>
                <w:lang w:val="zh-CN"/>
              </w:rPr>
            </w:pPr>
          </w:p>
        </w:tc>
      </w:tr>
      <w:tr w14:paraId="7A3E2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1753" w:type="dxa"/>
            <w:vMerge w:val="continue"/>
            <w:shd w:val="clear" w:color="000000" w:fill="FFFFFF"/>
            <w:vAlign w:val="center"/>
          </w:tcPr>
          <w:p w14:paraId="3A81DB31">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225" w:type="dxa"/>
            <w:shd w:val="clear" w:color="000000" w:fill="FFFFFF"/>
            <w:vAlign w:val="center"/>
          </w:tcPr>
          <w:p w14:paraId="22C2B328">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通信地址</w:t>
            </w:r>
          </w:p>
        </w:tc>
        <w:tc>
          <w:tcPr>
            <w:tcW w:w="1984" w:type="dxa"/>
            <w:shd w:val="clear" w:color="000000" w:fill="FFFFFF"/>
            <w:vAlign w:val="center"/>
          </w:tcPr>
          <w:p w14:paraId="225FBC88">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843" w:type="dxa"/>
            <w:shd w:val="clear" w:color="000000" w:fill="FFFFFF"/>
            <w:vAlign w:val="center"/>
          </w:tcPr>
          <w:p w14:paraId="4DD06D52">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邮政编码</w:t>
            </w:r>
          </w:p>
        </w:tc>
        <w:tc>
          <w:tcPr>
            <w:tcW w:w="2536" w:type="dxa"/>
            <w:shd w:val="clear" w:color="000000" w:fill="FFFFFF"/>
            <w:vAlign w:val="center"/>
          </w:tcPr>
          <w:p w14:paraId="4FFEBA4E">
            <w:pPr>
              <w:keepNext/>
              <w:keepLines/>
              <w:autoSpaceDE w:val="0"/>
              <w:autoSpaceDN w:val="0"/>
              <w:adjustRightInd w:val="0"/>
              <w:spacing w:before="260" w:after="260" w:line="560" w:lineRule="exact"/>
              <w:rPr>
                <w:rFonts w:hint="eastAsia" w:ascii="宋体" w:hAnsi="宋体" w:cs="宋体"/>
                <w:kern w:val="0"/>
                <w:sz w:val="24"/>
                <w:szCs w:val="24"/>
                <w:lang w:val="zh-CN"/>
              </w:rPr>
            </w:pPr>
          </w:p>
        </w:tc>
      </w:tr>
      <w:tr w14:paraId="07F9F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341" w:type="dxa"/>
            <w:gridSpan w:val="5"/>
            <w:shd w:val="clear" w:color="000000" w:fill="FFFFFF"/>
            <w:vAlign w:val="center"/>
          </w:tcPr>
          <w:p w14:paraId="3CB1B1AD">
            <w:pPr>
              <w:autoSpaceDE w:val="0"/>
              <w:autoSpaceDN w:val="0"/>
              <w:adjustRightInd w:val="0"/>
              <w:spacing w:line="560" w:lineRule="exact"/>
              <w:rPr>
                <w:rFonts w:ascii="宋体" w:hAnsi="??_GB2312" w:cs="宋体"/>
                <w:kern w:val="0"/>
                <w:sz w:val="24"/>
                <w:szCs w:val="24"/>
                <w:lang w:val="zh-CN"/>
              </w:rPr>
            </w:pPr>
            <w:r>
              <w:rPr>
                <w:rFonts w:hint="eastAsia" w:ascii="黑体" w:hAnsi="??_GB2312" w:eastAsia="黑体" w:cs="黑体"/>
                <w:kern w:val="0"/>
                <w:sz w:val="24"/>
                <w:szCs w:val="24"/>
                <w:lang w:val="zh-CN"/>
              </w:rPr>
              <w:t>二、子基金</w:t>
            </w:r>
          </w:p>
        </w:tc>
      </w:tr>
      <w:tr w14:paraId="08B6C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1753" w:type="dxa"/>
            <w:shd w:val="clear" w:color="000000" w:fill="FFFFFF"/>
            <w:vAlign w:val="center"/>
          </w:tcPr>
          <w:p w14:paraId="1C5CC072">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名称</w:t>
            </w:r>
          </w:p>
        </w:tc>
        <w:tc>
          <w:tcPr>
            <w:tcW w:w="3209" w:type="dxa"/>
            <w:gridSpan w:val="2"/>
            <w:shd w:val="clear" w:color="000000" w:fill="FFFFFF"/>
            <w:vAlign w:val="center"/>
          </w:tcPr>
          <w:p w14:paraId="2D4F8BBD">
            <w:pPr>
              <w:keepNext/>
              <w:keepLines/>
              <w:autoSpaceDE w:val="0"/>
              <w:autoSpaceDN w:val="0"/>
              <w:adjustRightInd w:val="0"/>
              <w:spacing w:before="260" w:after="260" w:line="560" w:lineRule="exact"/>
              <w:ind w:firstLine="1680"/>
              <w:rPr>
                <w:rFonts w:hint="eastAsia" w:ascii="宋体" w:hAnsi="宋体" w:cs="宋体"/>
                <w:kern w:val="0"/>
                <w:sz w:val="24"/>
                <w:szCs w:val="24"/>
                <w:lang w:val="zh-CN"/>
              </w:rPr>
            </w:pPr>
          </w:p>
        </w:tc>
        <w:tc>
          <w:tcPr>
            <w:tcW w:w="1843" w:type="dxa"/>
            <w:shd w:val="clear" w:color="000000" w:fill="FFFFFF"/>
            <w:vAlign w:val="center"/>
          </w:tcPr>
          <w:p w14:paraId="5FB09F95">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组织形式</w:t>
            </w:r>
          </w:p>
        </w:tc>
        <w:tc>
          <w:tcPr>
            <w:tcW w:w="2536" w:type="dxa"/>
            <w:shd w:val="clear" w:color="000000" w:fill="FFFFFF"/>
            <w:vAlign w:val="center"/>
          </w:tcPr>
          <w:p w14:paraId="15E713BD">
            <w:pPr>
              <w:autoSpaceDE w:val="0"/>
              <w:autoSpaceDN w:val="0"/>
              <w:adjustRightInd w:val="0"/>
              <w:spacing w:line="560" w:lineRule="exact"/>
              <w:rPr>
                <w:rFonts w:hint="eastAsia" w:ascii="宋体" w:hAnsi="宋体" w:cs="??_GB2312"/>
                <w:kern w:val="0"/>
                <w:sz w:val="24"/>
                <w:szCs w:val="24"/>
              </w:rPr>
            </w:pPr>
            <w:r>
              <w:rPr>
                <w:rFonts w:hint="eastAsia" w:ascii="宋体" w:hAnsi="宋体" w:cs="宋体"/>
                <w:kern w:val="0"/>
                <w:sz w:val="24"/>
                <w:szCs w:val="24"/>
                <w:lang w:val="zh-CN"/>
              </w:rPr>
              <w:t>□公司制</w:t>
            </w:r>
          </w:p>
          <w:p w14:paraId="5CECEFC2">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□有限合伙制</w:t>
            </w:r>
          </w:p>
        </w:tc>
      </w:tr>
      <w:tr w14:paraId="2AA7E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1753" w:type="dxa"/>
            <w:shd w:val="clear" w:color="000000" w:fill="FFFFFF"/>
            <w:vAlign w:val="center"/>
          </w:tcPr>
          <w:p w14:paraId="66AB0E87">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注册地址</w:t>
            </w:r>
          </w:p>
        </w:tc>
        <w:tc>
          <w:tcPr>
            <w:tcW w:w="3209" w:type="dxa"/>
            <w:gridSpan w:val="2"/>
            <w:shd w:val="clear" w:color="000000" w:fill="FFFFFF"/>
            <w:vAlign w:val="center"/>
          </w:tcPr>
          <w:p w14:paraId="4B592C61">
            <w:pPr>
              <w:keepNext/>
              <w:keepLines/>
              <w:autoSpaceDE w:val="0"/>
              <w:autoSpaceDN w:val="0"/>
              <w:adjustRightInd w:val="0"/>
              <w:spacing w:before="260" w:after="260" w:line="560" w:lineRule="exact"/>
              <w:ind w:firstLine="1680"/>
              <w:rPr>
                <w:rFonts w:hint="eastAsia" w:ascii="宋体" w:hAnsi="宋体" w:cs="宋体"/>
                <w:kern w:val="0"/>
                <w:sz w:val="24"/>
                <w:szCs w:val="24"/>
                <w:lang w:val="zh-CN"/>
              </w:rPr>
            </w:pPr>
          </w:p>
        </w:tc>
        <w:tc>
          <w:tcPr>
            <w:tcW w:w="1843" w:type="dxa"/>
            <w:shd w:val="clear" w:color="000000" w:fill="FFFFFF"/>
            <w:vAlign w:val="center"/>
          </w:tcPr>
          <w:p w14:paraId="37086F30">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存续期限（投资期+退出期+延长期）</w:t>
            </w:r>
          </w:p>
        </w:tc>
        <w:tc>
          <w:tcPr>
            <w:tcW w:w="2536" w:type="dxa"/>
            <w:shd w:val="clear" w:color="000000" w:fill="FFFFFF"/>
            <w:vAlign w:val="center"/>
          </w:tcPr>
          <w:p w14:paraId="599E5822">
            <w:pPr>
              <w:keepNext/>
              <w:keepLines/>
              <w:autoSpaceDE w:val="0"/>
              <w:autoSpaceDN w:val="0"/>
              <w:adjustRightInd w:val="0"/>
              <w:spacing w:before="260" w:after="260" w:line="560" w:lineRule="exact"/>
              <w:ind w:firstLine="1680"/>
              <w:rPr>
                <w:rFonts w:hint="eastAsia" w:ascii="宋体" w:hAnsi="宋体" w:cs="宋体"/>
                <w:kern w:val="0"/>
                <w:sz w:val="24"/>
                <w:szCs w:val="24"/>
                <w:lang w:val="zh-CN"/>
              </w:rPr>
            </w:pPr>
          </w:p>
        </w:tc>
      </w:tr>
      <w:tr w14:paraId="3B216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4" w:hRule="atLeast"/>
          <w:jc w:val="center"/>
        </w:trPr>
        <w:tc>
          <w:tcPr>
            <w:tcW w:w="1753" w:type="dxa"/>
            <w:shd w:val="clear" w:color="000000" w:fill="FFFFFF"/>
            <w:vAlign w:val="center"/>
          </w:tcPr>
          <w:p w14:paraId="06321297">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投资领域</w:t>
            </w:r>
          </w:p>
        </w:tc>
        <w:tc>
          <w:tcPr>
            <w:tcW w:w="3209" w:type="dxa"/>
            <w:gridSpan w:val="2"/>
            <w:shd w:val="clear" w:color="000000" w:fill="FFFFFF"/>
            <w:vAlign w:val="center"/>
          </w:tcPr>
          <w:p w14:paraId="49FFDA5C">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843" w:type="dxa"/>
            <w:shd w:val="clear" w:color="000000" w:fill="FFFFFF"/>
            <w:vAlign w:val="center"/>
          </w:tcPr>
          <w:p w14:paraId="7768DB67">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投资阶段</w:t>
            </w:r>
          </w:p>
        </w:tc>
        <w:tc>
          <w:tcPr>
            <w:tcW w:w="2536" w:type="dxa"/>
            <w:shd w:val="clear" w:color="000000" w:fill="FFFFFF"/>
            <w:vAlign w:val="center"/>
          </w:tcPr>
          <w:p w14:paraId="0CB5F269">
            <w:pPr>
              <w:keepNext/>
              <w:keepLines/>
              <w:autoSpaceDE w:val="0"/>
              <w:autoSpaceDN w:val="0"/>
              <w:adjustRightInd w:val="0"/>
              <w:spacing w:before="260" w:after="260" w:line="560" w:lineRule="exact"/>
              <w:rPr>
                <w:rFonts w:hint="eastAsia" w:ascii="宋体" w:hAnsi="宋体" w:cs="宋体"/>
                <w:kern w:val="0"/>
                <w:sz w:val="24"/>
                <w:szCs w:val="24"/>
                <w:lang w:val="zh-CN"/>
              </w:rPr>
            </w:pPr>
          </w:p>
        </w:tc>
      </w:tr>
      <w:tr w14:paraId="09F60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1753" w:type="dxa"/>
            <w:shd w:val="clear" w:color="000000" w:fill="FFFFFF"/>
            <w:vAlign w:val="center"/>
          </w:tcPr>
          <w:p w14:paraId="0A806E8A">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子基金类型</w:t>
            </w:r>
          </w:p>
        </w:tc>
        <w:tc>
          <w:tcPr>
            <w:tcW w:w="3209" w:type="dxa"/>
            <w:gridSpan w:val="2"/>
            <w:shd w:val="clear" w:color="000000" w:fill="FFFFFF"/>
            <w:vAlign w:val="center"/>
          </w:tcPr>
          <w:p w14:paraId="7C1D5BA7">
            <w:pPr>
              <w:autoSpaceDE w:val="0"/>
              <w:autoSpaceDN w:val="0"/>
              <w:adjustRightInd w:val="0"/>
              <w:spacing w:line="560" w:lineRule="exact"/>
              <w:rPr>
                <w:rFonts w:hint="eastAsia" w:ascii="宋体" w:hAnsi="宋体" w:cs="??_GB2312"/>
                <w:kern w:val="0"/>
                <w:sz w:val="24"/>
                <w:szCs w:val="24"/>
              </w:rPr>
            </w:pPr>
            <w:r>
              <w:rPr>
                <w:rFonts w:hint="eastAsia" w:ascii="宋体" w:hAnsi="宋体" w:cs="宋体"/>
                <w:kern w:val="0"/>
                <w:sz w:val="24"/>
                <w:szCs w:val="24"/>
                <w:lang w:val="zh-CN"/>
              </w:rPr>
              <w:t>□直接投资</w:t>
            </w:r>
          </w:p>
          <w:p w14:paraId="0D52065D">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□间接投资</w:t>
            </w:r>
          </w:p>
        </w:tc>
        <w:tc>
          <w:tcPr>
            <w:tcW w:w="1843" w:type="dxa"/>
            <w:shd w:val="clear" w:color="000000" w:fill="FFFFFF"/>
            <w:vAlign w:val="center"/>
          </w:tcPr>
          <w:p w14:paraId="1ECAD875">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子基金规模</w:t>
            </w:r>
          </w:p>
        </w:tc>
        <w:tc>
          <w:tcPr>
            <w:tcW w:w="2536" w:type="dxa"/>
            <w:shd w:val="clear" w:color="000000" w:fill="FFFFFF"/>
            <w:vAlign w:val="center"/>
          </w:tcPr>
          <w:p w14:paraId="66DEBC98">
            <w:pPr>
              <w:autoSpaceDE w:val="0"/>
              <w:autoSpaceDN w:val="0"/>
              <w:adjustRightInd w:val="0"/>
              <w:spacing w:line="560" w:lineRule="exact"/>
              <w:ind w:firstLine="1320" w:firstLineChars="550"/>
              <w:rPr>
                <w:rFonts w:hint="eastAsia" w:ascii="宋体" w:hAnsi="宋体" w:cs="宋体"/>
                <w:kern w:val="0"/>
                <w:sz w:val="24"/>
                <w:szCs w:val="24"/>
                <w:lang w:val="zh-CN"/>
              </w:rPr>
            </w:pPr>
            <w:r>
              <w:rPr>
                <w:rFonts w:hint="eastAsia" w:ascii="宋体" w:hAnsi="宋体" w:cs="宋体"/>
                <w:kern w:val="0"/>
                <w:sz w:val="24"/>
                <w:szCs w:val="24"/>
                <w:lang w:val="zh-CN"/>
              </w:rPr>
              <w:t>万元</w:t>
            </w:r>
          </w:p>
        </w:tc>
      </w:tr>
      <w:tr w14:paraId="48D6E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1753" w:type="dxa"/>
            <w:shd w:val="clear" w:color="000000" w:fill="FFFFFF"/>
            <w:vAlign w:val="center"/>
          </w:tcPr>
          <w:p w14:paraId="3E76BD60">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已募集资金</w:t>
            </w:r>
          </w:p>
        </w:tc>
        <w:tc>
          <w:tcPr>
            <w:tcW w:w="3209" w:type="dxa"/>
            <w:gridSpan w:val="2"/>
            <w:shd w:val="clear" w:color="000000" w:fill="FFFFFF"/>
            <w:vAlign w:val="center"/>
          </w:tcPr>
          <w:p w14:paraId="6C4BDED1">
            <w:pPr>
              <w:autoSpaceDE w:val="0"/>
              <w:autoSpaceDN w:val="0"/>
              <w:adjustRightInd w:val="0"/>
              <w:spacing w:line="560" w:lineRule="exact"/>
              <w:ind w:firstLine="1560" w:firstLineChars="650"/>
              <w:rPr>
                <w:rFonts w:hint="eastAsia" w:ascii="宋体" w:hAnsi="宋体" w:cs="宋体"/>
                <w:kern w:val="0"/>
                <w:sz w:val="24"/>
                <w:szCs w:val="24"/>
                <w:lang w:val="zh-CN"/>
              </w:rPr>
            </w:pPr>
            <w:r>
              <w:rPr>
                <w:rFonts w:hint="eastAsia" w:ascii="宋体" w:hAnsi="宋体" w:cs="宋体"/>
                <w:kern w:val="0"/>
                <w:sz w:val="24"/>
                <w:szCs w:val="24"/>
                <w:lang w:val="zh-CN"/>
              </w:rPr>
              <w:t>万元</w:t>
            </w:r>
          </w:p>
        </w:tc>
        <w:tc>
          <w:tcPr>
            <w:tcW w:w="1843" w:type="dxa"/>
            <w:shd w:val="clear" w:color="000000" w:fill="FFFFFF"/>
            <w:vAlign w:val="center"/>
          </w:tcPr>
          <w:p w14:paraId="35AFFB0D">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子基金管理机构或其关联方承诺出资及占比</w:t>
            </w:r>
          </w:p>
        </w:tc>
        <w:tc>
          <w:tcPr>
            <w:tcW w:w="2536" w:type="dxa"/>
            <w:shd w:val="clear" w:color="000000" w:fill="FFFFFF"/>
            <w:vAlign w:val="center"/>
          </w:tcPr>
          <w:p w14:paraId="3B3EF6C4">
            <w:pPr>
              <w:autoSpaceDE w:val="0"/>
              <w:autoSpaceDN w:val="0"/>
              <w:adjustRightInd w:val="0"/>
              <w:spacing w:line="560" w:lineRule="exact"/>
              <w:ind w:firstLine="1320" w:firstLineChars="550"/>
              <w:rPr>
                <w:rFonts w:hint="eastAsia" w:ascii="宋体" w:hAnsi="宋体" w:cs="宋体"/>
                <w:kern w:val="0"/>
                <w:sz w:val="24"/>
                <w:szCs w:val="24"/>
                <w:lang w:val="zh-CN"/>
              </w:rPr>
            </w:pPr>
            <w:r>
              <w:rPr>
                <w:rFonts w:hint="eastAsia" w:ascii="宋体" w:hAnsi="宋体" w:cs="宋体"/>
                <w:kern w:val="0"/>
                <w:sz w:val="24"/>
                <w:szCs w:val="24"/>
                <w:lang w:val="zh-CN"/>
              </w:rPr>
              <w:t>万元</w:t>
            </w:r>
          </w:p>
          <w:p w14:paraId="798D9D42">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占比：</w:t>
            </w:r>
            <w:r>
              <w:rPr>
                <w:rFonts w:ascii="宋体" w:hAnsi="宋体" w:cs="宋体"/>
                <w:kern w:val="0"/>
                <w:sz w:val="24"/>
                <w:szCs w:val="24"/>
                <w:lang w:val="zh-CN"/>
              </w:rPr>
              <w:t xml:space="preserve">   %</w:t>
            </w:r>
          </w:p>
        </w:tc>
      </w:tr>
      <w:tr w14:paraId="6B254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1753" w:type="dxa"/>
            <w:shd w:val="clear" w:color="000000" w:fill="FFFFFF"/>
            <w:vAlign w:val="center"/>
          </w:tcPr>
          <w:p w14:paraId="778C9882">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申请种子基金金额</w:t>
            </w:r>
          </w:p>
        </w:tc>
        <w:tc>
          <w:tcPr>
            <w:tcW w:w="3209" w:type="dxa"/>
            <w:gridSpan w:val="2"/>
            <w:shd w:val="clear" w:color="000000" w:fill="FFFFFF"/>
            <w:vAlign w:val="center"/>
          </w:tcPr>
          <w:p w14:paraId="67C3A783">
            <w:pPr>
              <w:autoSpaceDE w:val="0"/>
              <w:autoSpaceDN w:val="0"/>
              <w:adjustRightInd w:val="0"/>
              <w:spacing w:line="560" w:lineRule="exact"/>
              <w:ind w:firstLine="1560" w:firstLineChars="650"/>
              <w:rPr>
                <w:rFonts w:hint="eastAsia" w:ascii="宋体" w:hAnsi="宋体" w:cs="宋体"/>
                <w:kern w:val="0"/>
                <w:sz w:val="24"/>
                <w:szCs w:val="24"/>
                <w:lang w:val="zh-CN"/>
              </w:rPr>
            </w:pPr>
            <w:r>
              <w:rPr>
                <w:rFonts w:hint="eastAsia" w:ascii="宋体" w:hAnsi="宋体" w:cs="宋体"/>
                <w:kern w:val="0"/>
                <w:sz w:val="24"/>
                <w:szCs w:val="24"/>
                <w:lang w:val="zh-CN"/>
              </w:rPr>
              <w:t>万元</w:t>
            </w:r>
          </w:p>
          <w:p w14:paraId="57FE4932">
            <w:pPr>
              <w:keepNext/>
              <w:keepLines/>
              <w:autoSpaceDE w:val="0"/>
              <w:autoSpaceDN w:val="0"/>
              <w:adjustRightInd w:val="0"/>
              <w:spacing w:before="260" w:after="260" w:line="560" w:lineRule="exact"/>
              <w:ind w:firstLine="480" w:firstLineChars="200"/>
              <w:rPr>
                <w:rFonts w:hint="eastAsia" w:ascii="宋体" w:hAnsi="宋体" w:cs="宋体"/>
                <w:kern w:val="0"/>
                <w:sz w:val="24"/>
                <w:szCs w:val="24"/>
                <w:lang w:val="zh-CN"/>
              </w:rPr>
            </w:pPr>
          </w:p>
        </w:tc>
        <w:tc>
          <w:tcPr>
            <w:tcW w:w="1843" w:type="dxa"/>
            <w:shd w:val="clear" w:color="000000" w:fill="FFFFFF"/>
            <w:vAlign w:val="center"/>
          </w:tcPr>
          <w:p w14:paraId="514ADFA0">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种子基金出资比例</w:t>
            </w:r>
          </w:p>
        </w:tc>
        <w:tc>
          <w:tcPr>
            <w:tcW w:w="2536" w:type="dxa"/>
            <w:shd w:val="clear" w:color="000000" w:fill="FFFFFF"/>
            <w:vAlign w:val="center"/>
          </w:tcPr>
          <w:p w14:paraId="4071DC82">
            <w:pPr>
              <w:autoSpaceDE w:val="0"/>
              <w:autoSpaceDN w:val="0"/>
              <w:adjustRightInd w:val="0"/>
              <w:spacing w:line="560" w:lineRule="exact"/>
              <w:rPr>
                <w:rFonts w:hint="eastAsia" w:ascii="宋体" w:hAnsi="宋体" w:cs="??_GB2312"/>
                <w:kern w:val="0"/>
                <w:sz w:val="24"/>
                <w:szCs w:val="24"/>
              </w:rPr>
            </w:pPr>
            <w:r>
              <w:rPr>
                <w:rFonts w:ascii="宋体" w:hAnsi="宋体" w:cs="??_GB2312"/>
                <w:kern w:val="0"/>
                <w:sz w:val="24"/>
                <w:szCs w:val="24"/>
              </w:rPr>
              <w:t xml:space="preserve">     %</w:t>
            </w:r>
          </w:p>
        </w:tc>
      </w:tr>
      <w:tr w14:paraId="3DFB9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341" w:type="dxa"/>
            <w:gridSpan w:val="5"/>
            <w:shd w:val="clear" w:color="000000" w:fill="FFFFFF"/>
            <w:vAlign w:val="center"/>
          </w:tcPr>
          <w:p w14:paraId="108E4BB8">
            <w:pPr>
              <w:autoSpaceDE w:val="0"/>
              <w:autoSpaceDN w:val="0"/>
              <w:adjustRightInd w:val="0"/>
              <w:spacing w:line="560" w:lineRule="exact"/>
              <w:rPr>
                <w:rFonts w:ascii="宋体" w:hAnsi="??_GB2312" w:cs="宋体"/>
                <w:kern w:val="0"/>
                <w:sz w:val="24"/>
                <w:szCs w:val="24"/>
                <w:lang w:val="zh-CN"/>
              </w:rPr>
            </w:pPr>
            <w:r>
              <w:rPr>
                <w:rFonts w:hint="eastAsia" w:ascii="黑体" w:hAnsi="??_GB2312" w:eastAsia="黑体" w:cs="黑体"/>
                <w:kern w:val="0"/>
                <w:sz w:val="24"/>
                <w:szCs w:val="24"/>
                <w:lang w:val="zh-CN"/>
              </w:rPr>
              <w:t>三、子基金管理机构</w:t>
            </w:r>
          </w:p>
        </w:tc>
      </w:tr>
      <w:tr w14:paraId="0E1E1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1753" w:type="dxa"/>
            <w:shd w:val="clear" w:color="000000" w:fill="FFFFFF"/>
            <w:vAlign w:val="center"/>
          </w:tcPr>
          <w:p w14:paraId="77A35086">
            <w:pPr>
              <w:autoSpaceDE w:val="0"/>
              <w:autoSpaceDN w:val="0"/>
              <w:adjustRightInd w:val="0"/>
              <w:spacing w:line="560" w:lineRule="exact"/>
              <w:ind w:firstLine="17"/>
              <w:rPr>
                <w:rFonts w:hint="eastAsia" w:ascii="宋体" w:hAnsi="宋体" w:cs="宋体"/>
                <w:kern w:val="0"/>
                <w:sz w:val="24"/>
                <w:szCs w:val="24"/>
                <w:lang w:val="zh-CN"/>
              </w:rPr>
            </w:pPr>
            <w:r>
              <w:rPr>
                <w:rFonts w:hint="eastAsia" w:ascii="宋体" w:hAnsi="宋体" w:cs="宋体"/>
                <w:kern w:val="0"/>
                <w:sz w:val="24"/>
                <w:szCs w:val="24"/>
                <w:lang w:val="zh-CN"/>
              </w:rPr>
              <w:t>机构名称</w:t>
            </w:r>
          </w:p>
        </w:tc>
        <w:tc>
          <w:tcPr>
            <w:tcW w:w="3209" w:type="dxa"/>
            <w:gridSpan w:val="2"/>
            <w:shd w:val="clear" w:color="000000" w:fill="FFFFFF"/>
            <w:vAlign w:val="center"/>
          </w:tcPr>
          <w:p w14:paraId="4F551CA4">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843" w:type="dxa"/>
            <w:shd w:val="clear" w:color="000000" w:fill="FFFFFF"/>
            <w:vAlign w:val="center"/>
          </w:tcPr>
          <w:p w14:paraId="0F389214">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组织形式</w:t>
            </w:r>
          </w:p>
        </w:tc>
        <w:tc>
          <w:tcPr>
            <w:tcW w:w="2536" w:type="dxa"/>
            <w:shd w:val="clear" w:color="000000" w:fill="FFFFFF"/>
            <w:vAlign w:val="center"/>
          </w:tcPr>
          <w:p w14:paraId="0848BC38">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□公司制</w:t>
            </w:r>
          </w:p>
          <w:p w14:paraId="69697799">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□有限合伙制</w:t>
            </w:r>
          </w:p>
        </w:tc>
      </w:tr>
      <w:tr w14:paraId="78933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1753" w:type="dxa"/>
            <w:shd w:val="clear" w:color="000000" w:fill="FFFFFF"/>
            <w:vAlign w:val="center"/>
          </w:tcPr>
          <w:p w14:paraId="349129E5">
            <w:pPr>
              <w:autoSpaceDE w:val="0"/>
              <w:autoSpaceDN w:val="0"/>
              <w:adjustRightInd w:val="0"/>
              <w:spacing w:line="560" w:lineRule="exact"/>
              <w:rPr>
                <w:rFonts w:hint="eastAsia" w:ascii="宋体" w:hAnsi="宋体" w:cs="??_GB2312"/>
                <w:kern w:val="0"/>
                <w:sz w:val="24"/>
                <w:szCs w:val="24"/>
              </w:rPr>
            </w:pPr>
            <w:r>
              <w:rPr>
                <w:rFonts w:hint="eastAsia" w:ascii="宋体" w:hAnsi="宋体" w:cs="宋体"/>
                <w:kern w:val="0"/>
                <w:sz w:val="24"/>
                <w:szCs w:val="24"/>
                <w:lang w:val="zh-CN"/>
              </w:rPr>
              <w:t>注册地址</w:t>
            </w:r>
          </w:p>
          <w:p w14:paraId="4000F43B">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3209" w:type="dxa"/>
            <w:gridSpan w:val="2"/>
            <w:shd w:val="clear" w:color="000000" w:fill="FFFFFF"/>
            <w:vAlign w:val="center"/>
          </w:tcPr>
          <w:p w14:paraId="7FA6648E">
            <w:pPr>
              <w:keepNext/>
              <w:keepLines/>
              <w:autoSpaceDE w:val="0"/>
              <w:autoSpaceDN w:val="0"/>
              <w:adjustRightInd w:val="0"/>
              <w:spacing w:before="260" w:after="260" w:line="560" w:lineRule="exact"/>
              <w:rPr>
                <w:rFonts w:hint="eastAsia" w:ascii="宋体" w:hAnsi="宋体" w:cs="宋体"/>
                <w:kern w:val="0"/>
                <w:sz w:val="24"/>
                <w:szCs w:val="24"/>
                <w:lang w:val="zh-CN"/>
              </w:rPr>
            </w:pPr>
          </w:p>
        </w:tc>
        <w:tc>
          <w:tcPr>
            <w:tcW w:w="1843" w:type="dxa"/>
            <w:shd w:val="clear" w:color="000000" w:fill="FFFFFF"/>
            <w:vAlign w:val="center"/>
          </w:tcPr>
          <w:p w14:paraId="2D6C95B8">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法定代表人</w:t>
            </w:r>
            <w:r>
              <w:rPr>
                <w:rFonts w:ascii="宋体" w:hAnsi="宋体" w:cs="??_GB2312"/>
                <w:kern w:val="0"/>
                <w:sz w:val="24"/>
                <w:szCs w:val="24"/>
              </w:rPr>
              <w:t>/</w:t>
            </w:r>
            <w:r>
              <w:rPr>
                <w:rFonts w:hint="eastAsia" w:ascii="宋体" w:hAnsi="宋体" w:cs="宋体"/>
                <w:kern w:val="0"/>
                <w:sz w:val="24"/>
                <w:szCs w:val="24"/>
                <w:lang w:val="zh-CN"/>
              </w:rPr>
              <w:t>执行事务合伙人</w:t>
            </w:r>
          </w:p>
        </w:tc>
        <w:tc>
          <w:tcPr>
            <w:tcW w:w="2536" w:type="dxa"/>
            <w:shd w:val="clear" w:color="000000" w:fill="FFFFFF"/>
            <w:vAlign w:val="center"/>
          </w:tcPr>
          <w:p w14:paraId="39B890AE">
            <w:pPr>
              <w:keepNext/>
              <w:keepLines/>
              <w:autoSpaceDE w:val="0"/>
              <w:autoSpaceDN w:val="0"/>
              <w:adjustRightInd w:val="0"/>
              <w:spacing w:before="260" w:after="260" w:line="560" w:lineRule="exact"/>
              <w:rPr>
                <w:rFonts w:hint="eastAsia" w:ascii="宋体" w:hAnsi="宋体" w:cs="宋体"/>
                <w:kern w:val="0"/>
                <w:sz w:val="24"/>
                <w:szCs w:val="24"/>
                <w:lang w:val="zh-CN"/>
              </w:rPr>
            </w:pPr>
          </w:p>
        </w:tc>
      </w:tr>
      <w:tr w14:paraId="106C6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1753" w:type="dxa"/>
            <w:shd w:val="clear" w:color="000000" w:fill="FFFFFF"/>
            <w:vAlign w:val="center"/>
          </w:tcPr>
          <w:p w14:paraId="43E789E7">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注册资本</w:t>
            </w:r>
            <w:r>
              <w:rPr>
                <w:rFonts w:ascii="宋体" w:hAnsi="宋体" w:cs="??_GB2312"/>
                <w:kern w:val="0"/>
                <w:sz w:val="24"/>
                <w:szCs w:val="24"/>
              </w:rPr>
              <w:t>/</w:t>
            </w:r>
            <w:r>
              <w:rPr>
                <w:rFonts w:hint="eastAsia" w:ascii="宋体" w:hAnsi="宋体" w:cs="宋体"/>
                <w:kern w:val="0"/>
                <w:sz w:val="24"/>
                <w:szCs w:val="24"/>
                <w:lang w:val="zh-CN"/>
              </w:rPr>
              <w:t>认缴出资总额</w:t>
            </w:r>
          </w:p>
        </w:tc>
        <w:tc>
          <w:tcPr>
            <w:tcW w:w="3209" w:type="dxa"/>
            <w:gridSpan w:val="2"/>
            <w:shd w:val="clear" w:color="000000" w:fill="FFFFFF"/>
            <w:vAlign w:val="center"/>
          </w:tcPr>
          <w:p w14:paraId="24A24035">
            <w:pPr>
              <w:autoSpaceDE w:val="0"/>
              <w:autoSpaceDN w:val="0"/>
              <w:adjustRightInd w:val="0"/>
              <w:spacing w:line="560" w:lineRule="exact"/>
              <w:ind w:firstLine="1920" w:firstLineChars="800"/>
              <w:rPr>
                <w:rFonts w:hint="eastAsia" w:ascii="宋体" w:hAnsi="宋体" w:cs="宋体"/>
                <w:kern w:val="0"/>
                <w:sz w:val="24"/>
                <w:szCs w:val="24"/>
                <w:lang w:val="zh-CN"/>
              </w:rPr>
            </w:pPr>
            <w:r>
              <w:rPr>
                <w:rFonts w:hint="eastAsia" w:ascii="宋体" w:hAnsi="宋体" w:cs="宋体"/>
                <w:kern w:val="0"/>
                <w:sz w:val="24"/>
                <w:szCs w:val="24"/>
                <w:lang w:val="zh-CN"/>
              </w:rPr>
              <w:t>万元</w:t>
            </w:r>
          </w:p>
        </w:tc>
        <w:tc>
          <w:tcPr>
            <w:tcW w:w="1843" w:type="dxa"/>
            <w:shd w:val="clear" w:color="000000" w:fill="FFFFFF"/>
            <w:vAlign w:val="center"/>
          </w:tcPr>
          <w:p w14:paraId="7F85EA32">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实缴资本</w:t>
            </w:r>
          </w:p>
        </w:tc>
        <w:tc>
          <w:tcPr>
            <w:tcW w:w="2536" w:type="dxa"/>
            <w:shd w:val="clear" w:color="000000" w:fill="FFFFFF"/>
            <w:vAlign w:val="center"/>
          </w:tcPr>
          <w:p w14:paraId="4F76822A">
            <w:pPr>
              <w:autoSpaceDE w:val="0"/>
              <w:autoSpaceDN w:val="0"/>
              <w:adjustRightInd w:val="0"/>
              <w:spacing w:line="560" w:lineRule="exact"/>
              <w:rPr>
                <w:rFonts w:hint="eastAsia" w:ascii="宋体" w:hAnsi="宋体" w:cs="宋体"/>
                <w:kern w:val="0"/>
                <w:sz w:val="24"/>
                <w:szCs w:val="24"/>
                <w:lang w:val="zh-CN"/>
              </w:rPr>
            </w:pPr>
            <w:r>
              <w:rPr>
                <w:rFonts w:hint="eastAsia" w:ascii="宋体" w:hAnsi="宋体" w:cs="宋体"/>
                <w:kern w:val="0"/>
                <w:sz w:val="24"/>
                <w:szCs w:val="24"/>
                <w:lang w:val="zh-CN"/>
              </w:rPr>
              <w:t>万元</w:t>
            </w:r>
          </w:p>
        </w:tc>
      </w:tr>
    </w:tbl>
    <w:p w14:paraId="296389ED">
      <w:pPr>
        <w:spacing w:line="560" w:lineRule="exact"/>
        <w:rPr>
          <w:rFonts w:hint="eastAsia" w:ascii="仿宋_GB2312" w:hAnsi="黑体" w:eastAsia="仿宋_GB2312" w:cs="黑体"/>
          <w:sz w:val="32"/>
          <w:szCs w:val="28"/>
        </w:rPr>
      </w:pPr>
    </w:p>
    <w:p w14:paraId="6AAF1C31">
      <w:pPr>
        <w:spacing w:line="560" w:lineRule="exact"/>
        <w:rPr>
          <w:rFonts w:hint="eastAsia" w:ascii="仿宋_GB2312" w:hAnsi="黑体" w:eastAsia="仿宋_GB2312" w:cs="黑体"/>
          <w:sz w:val="32"/>
          <w:szCs w:val="28"/>
        </w:rPr>
      </w:pPr>
    </w:p>
    <w:p w14:paraId="5AD96E7F">
      <w:pPr>
        <w:spacing w:line="560" w:lineRule="exact"/>
        <w:rPr>
          <w:rFonts w:hint="eastAsia" w:ascii="仿宋_GB2312" w:hAnsi="黑体" w:eastAsia="仿宋_GB2312" w:cs="黑体"/>
          <w:sz w:val="32"/>
          <w:szCs w:val="28"/>
        </w:rPr>
      </w:pPr>
    </w:p>
    <w:p w14:paraId="6270F126">
      <w:pPr>
        <w:spacing w:line="560" w:lineRule="exact"/>
        <w:rPr>
          <w:rFonts w:hint="eastAsia" w:ascii="仿宋_GB2312" w:hAnsi="黑体" w:eastAsia="仿宋_GB2312" w:cs="黑体"/>
          <w:sz w:val="32"/>
          <w:szCs w:val="28"/>
        </w:rPr>
      </w:pPr>
    </w:p>
    <w:p w14:paraId="21E0380A">
      <w:pPr>
        <w:spacing w:line="560" w:lineRule="exact"/>
        <w:rPr>
          <w:rFonts w:hint="eastAsia" w:ascii="仿宋_GB2312" w:hAnsi="黑体" w:eastAsia="仿宋_GB2312" w:cs="黑体"/>
          <w:sz w:val="32"/>
          <w:szCs w:val="28"/>
        </w:rPr>
      </w:pPr>
    </w:p>
    <w:p w14:paraId="31D2AD6D">
      <w:pPr>
        <w:spacing w:line="560" w:lineRule="exact"/>
        <w:rPr>
          <w:rFonts w:hint="eastAsia" w:ascii="仿宋_GB2312" w:hAnsi="黑体" w:eastAsia="仿宋_GB2312" w:cs="黑体"/>
          <w:b/>
          <w:bCs/>
          <w:sz w:val="32"/>
          <w:szCs w:val="28"/>
        </w:rPr>
      </w:pPr>
      <w:r>
        <w:rPr>
          <w:rFonts w:hint="eastAsia" w:ascii="仿宋_GB2312" w:hAnsi="黑体" w:eastAsia="仿宋_GB2312" w:cs="黑体"/>
          <w:b/>
          <w:bCs/>
          <w:sz w:val="32"/>
          <w:szCs w:val="28"/>
        </w:rPr>
        <w:t>附件</w:t>
      </w:r>
      <w:r>
        <w:rPr>
          <w:rFonts w:ascii="仿宋_GB2312" w:hAnsi="黑体" w:eastAsia="仿宋_GB2312" w:cs="黑体"/>
          <w:b/>
          <w:bCs/>
          <w:sz w:val="32"/>
          <w:szCs w:val="28"/>
        </w:rPr>
        <w:t>2</w:t>
      </w:r>
    </w:p>
    <w:p w14:paraId="7A54079C">
      <w:pPr>
        <w:spacing w:line="560" w:lineRule="exact"/>
        <w:jc w:val="center"/>
        <w:rPr>
          <w:rFonts w:hint="eastAsia" w:ascii="宋体" w:hAnsi="宋体"/>
          <w:sz w:val="36"/>
          <w:szCs w:val="36"/>
          <w:u w:val="single"/>
        </w:rPr>
      </w:pPr>
    </w:p>
    <w:p w14:paraId="04B4E3C9">
      <w:pPr>
        <w:spacing w:line="560" w:lineRule="exact"/>
        <w:jc w:val="center"/>
        <w:rPr>
          <w:rFonts w:hint="eastAsia" w:ascii="仿宋_GB2312" w:hAnsi="仿宋" w:eastAsia="仿宋_GB2312"/>
          <w:sz w:val="32"/>
          <w:szCs w:val="32"/>
        </w:rPr>
      </w:pPr>
    </w:p>
    <w:p w14:paraId="2A935017">
      <w:pPr>
        <w:spacing w:line="560" w:lineRule="exact"/>
        <w:jc w:val="center"/>
        <w:rPr>
          <w:rFonts w:hint="eastAsia" w:ascii="仿宋_GB2312" w:hAnsi="仿宋" w:eastAsia="仿宋_GB2312"/>
          <w:sz w:val="32"/>
          <w:szCs w:val="32"/>
        </w:rPr>
      </w:pPr>
    </w:p>
    <w:p w14:paraId="7074536D">
      <w:pPr>
        <w:spacing w:line="560" w:lineRule="exact"/>
        <w:jc w:val="center"/>
        <w:rPr>
          <w:rFonts w:hint="eastAsia" w:ascii="仿宋_GB2312" w:hAnsi="仿宋" w:eastAsia="仿宋_GB2312"/>
          <w:sz w:val="32"/>
          <w:szCs w:val="32"/>
        </w:rPr>
      </w:pPr>
    </w:p>
    <w:p w14:paraId="39B16AF8">
      <w:pPr>
        <w:spacing w:line="560" w:lineRule="exact"/>
        <w:jc w:val="center"/>
        <w:rPr>
          <w:rFonts w:hint="eastAsia" w:ascii="仿宋_GB2312" w:hAnsi="仿宋" w:eastAsia="仿宋_GB2312"/>
          <w:sz w:val="32"/>
          <w:szCs w:val="32"/>
        </w:rPr>
      </w:pPr>
    </w:p>
    <w:p w14:paraId="666174FF">
      <w:pPr>
        <w:spacing w:line="560" w:lineRule="exact"/>
        <w:jc w:val="center"/>
        <w:rPr>
          <w:rFonts w:hint="eastAsia" w:ascii="方正小标宋简体" w:hAnsi="宋体" w:eastAsia="方正小标宋简体"/>
          <w:sz w:val="48"/>
          <w:szCs w:val="48"/>
        </w:rPr>
      </w:pPr>
      <w:r>
        <w:rPr>
          <w:rFonts w:hint="eastAsia" w:ascii="方正小标宋简体" w:hAnsi="宋体" w:eastAsia="方正小标宋简体"/>
          <w:sz w:val="48"/>
          <w:szCs w:val="48"/>
        </w:rPr>
        <w:t>深圳市</w:t>
      </w:r>
      <w:r>
        <w:rPr>
          <w:rFonts w:ascii="方正小标宋简体" w:hAnsi="宋体" w:eastAsia="方正小标宋简体"/>
          <w:sz w:val="48"/>
          <w:szCs w:val="48"/>
        </w:rPr>
        <w:t>XX</w:t>
      </w:r>
      <w:r>
        <w:rPr>
          <w:rFonts w:hint="eastAsia" w:ascii="方正小标宋简体" w:hAnsi="宋体" w:eastAsia="方正小标宋简体"/>
          <w:sz w:val="48"/>
          <w:szCs w:val="48"/>
        </w:rPr>
        <w:t>种子</w:t>
      </w:r>
      <w:r>
        <w:rPr>
          <w:rFonts w:ascii="方正小标宋简体" w:hAnsi="宋体" w:eastAsia="方正小标宋简体"/>
          <w:sz w:val="48"/>
          <w:szCs w:val="48"/>
        </w:rPr>
        <w:t>投资基金</w:t>
      </w:r>
    </w:p>
    <w:p w14:paraId="43D250B9">
      <w:pPr>
        <w:spacing w:line="560" w:lineRule="exact"/>
        <w:jc w:val="center"/>
        <w:rPr>
          <w:rFonts w:hint="eastAsia" w:ascii="方正小标宋简体" w:hAnsi="宋体" w:eastAsia="方正小标宋简体"/>
          <w:sz w:val="48"/>
          <w:szCs w:val="48"/>
        </w:rPr>
      </w:pPr>
      <w:r>
        <w:rPr>
          <w:rFonts w:hint="eastAsia" w:ascii="方正小标宋简体" w:hAnsi="宋体" w:eastAsia="方正小标宋简体"/>
          <w:sz w:val="48"/>
          <w:szCs w:val="48"/>
        </w:rPr>
        <w:t>申请方案</w:t>
      </w:r>
    </w:p>
    <w:p w14:paraId="766FAD3C">
      <w:pPr>
        <w:spacing w:line="560" w:lineRule="exact"/>
        <w:jc w:val="center"/>
        <w:rPr>
          <w:rFonts w:hint="eastAsia" w:ascii="仿宋_GB2312" w:hAnsi="宋体" w:eastAsia="仿宋_GB2312"/>
          <w:sz w:val="32"/>
          <w:szCs w:val="32"/>
        </w:rPr>
      </w:pPr>
    </w:p>
    <w:p w14:paraId="3555C372">
      <w:pPr>
        <w:spacing w:line="560" w:lineRule="exact"/>
        <w:jc w:val="center"/>
        <w:rPr>
          <w:rFonts w:hint="eastAsia" w:ascii="仿宋_GB2312" w:hAnsi="仿宋" w:eastAsia="仿宋_GB2312"/>
          <w:sz w:val="32"/>
          <w:szCs w:val="32"/>
        </w:rPr>
      </w:pPr>
    </w:p>
    <w:p w14:paraId="3637AE94">
      <w:pPr>
        <w:spacing w:line="560" w:lineRule="exact"/>
        <w:jc w:val="center"/>
        <w:rPr>
          <w:rFonts w:hint="eastAsia" w:ascii="仿宋_GB2312" w:hAnsi="仿宋" w:eastAsia="仿宋_GB2312"/>
          <w:sz w:val="32"/>
          <w:szCs w:val="32"/>
        </w:rPr>
      </w:pPr>
    </w:p>
    <w:p w14:paraId="11312628">
      <w:pPr>
        <w:spacing w:line="560" w:lineRule="exact"/>
        <w:jc w:val="center"/>
        <w:rPr>
          <w:rFonts w:hint="eastAsia" w:ascii="仿宋_GB2312" w:hAnsi="仿宋" w:eastAsia="仿宋_GB2312"/>
          <w:sz w:val="32"/>
          <w:szCs w:val="32"/>
        </w:rPr>
      </w:pPr>
    </w:p>
    <w:p w14:paraId="25917D76">
      <w:pPr>
        <w:spacing w:line="560" w:lineRule="exact"/>
        <w:jc w:val="center"/>
        <w:rPr>
          <w:rFonts w:hint="eastAsia" w:ascii="仿宋_GB2312" w:hAnsi="仿宋" w:eastAsia="仿宋_GB2312"/>
          <w:sz w:val="32"/>
          <w:szCs w:val="32"/>
        </w:rPr>
      </w:pPr>
    </w:p>
    <w:p w14:paraId="5986E2CB">
      <w:pPr>
        <w:spacing w:line="560" w:lineRule="exact"/>
        <w:jc w:val="center"/>
        <w:rPr>
          <w:rFonts w:hint="eastAsia" w:ascii="仿宋_GB2312" w:hAnsi="仿宋" w:eastAsia="仿宋_GB2312"/>
          <w:sz w:val="32"/>
          <w:szCs w:val="32"/>
        </w:rPr>
      </w:pPr>
    </w:p>
    <w:p w14:paraId="26B7782A">
      <w:pPr>
        <w:spacing w:line="560" w:lineRule="exact"/>
        <w:jc w:val="center"/>
        <w:rPr>
          <w:rFonts w:hint="eastAsia" w:ascii="仿宋_GB2312" w:hAnsi="仿宋" w:eastAsia="仿宋_GB2312"/>
          <w:sz w:val="32"/>
          <w:szCs w:val="32"/>
        </w:rPr>
      </w:pPr>
    </w:p>
    <w:p w14:paraId="6789A4BE">
      <w:pPr>
        <w:spacing w:line="560" w:lineRule="exact"/>
        <w:jc w:val="center"/>
        <w:rPr>
          <w:rFonts w:hint="eastAsia" w:ascii="方正小标宋简体" w:hAnsi="仿宋" w:eastAsia="方正小标宋简体"/>
          <w:sz w:val="32"/>
          <w:szCs w:val="32"/>
        </w:rPr>
      </w:pPr>
      <w:r>
        <w:rPr>
          <w:rFonts w:hint="eastAsia" w:ascii="方正小标宋简体" w:hAnsi="仿宋" w:eastAsia="方正小标宋简体"/>
          <w:sz w:val="32"/>
          <w:szCs w:val="32"/>
        </w:rPr>
        <w:t>联系人：</w:t>
      </w:r>
    </w:p>
    <w:p w14:paraId="268203C9">
      <w:pPr>
        <w:spacing w:line="560" w:lineRule="exact"/>
        <w:jc w:val="center"/>
        <w:rPr>
          <w:rFonts w:hint="eastAsia" w:ascii="方正小标宋简体" w:hAnsi="仿宋" w:eastAsia="方正小标宋简体"/>
          <w:sz w:val="32"/>
          <w:szCs w:val="32"/>
        </w:rPr>
      </w:pPr>
      <w:r>
        <w:rPr>
          <w:rFonts w:hint="eastAsia" w:ascii="方正小标宋简体" w:hAnsi="仿宋" w:eastAsia="方正小标宋简体"/>
          <w:sz w:val="32"/>
          <w:szCs w:val="32"/>
        </w:rPr>
        <w:t>联系电话：</w:t>
      </w:r>
    </w:p>
    <w:p w14:paraId="64D80C09">
      <w:pPr>
        <w:spacing w:line="560" w:lineRule="exact"/>
        <w:jc w:val="center"/>
        <w:rPr>
          <w:rFonts w:hint="eastAsia" w:ascii="方正小标宋简体" w:hAnsi="仿宋" w:eastAsia="方正小标宋简体"/>
          <w:sz w:val="32"/>
          <w:szCs w:val="32"/>
        </w:rPr>
      </w:pPr>
      <w:r>
        <w:rPr>
          <w:rFonts w:hint="eastAsia" w:ascii="方正小标宋简体" w:hAnsi="仿宋" w:eastAsia="方正小标宋简体"/>
          <w:sz w:val="32"/>
          <w:szCs w:val="32"/>
        </w:rPr>
        <w:t>邮箱：</w:t>
      </w:r>
    </w:p>
    <w:p w14:paraId="4F52A330">
      <w:pPr>
        <w:spacing w:line="560" w:lineRule="exact"/>
        <w:ind w:firstLine="944" w:firstLineChars="295"/>
        <w:jc w:val="center"/>
        <w:rPr>
          <w:rFonts w:hint="eastAsia" w:ascii="方正小标宋简体" w:hAnsi="宋体" w:eastAsia="方正小标宋简体"/>
          <w:sz w:val="32"/>
          <w:szCs w:val="32"/>
        </w:rPr>
      </w:pPr>
    </w:p>
    <w:p w14:paraId="304B5430">
      <w:pPr>
        <w:spacing w:line="560" w:lineRule="exact"/>
        <w:jc w:val="center"/>
        <w:rPr>
          <w:rFonts w:hint="eastAsia" w:ascii="方正小标宋简体" w:hAnsi="宋体" w:eastAsia="方正小标宋简体"/>
          <w:sz w:val="32"/>
          <w:szCs w:val="32"/>
        </w:rPr>
      </w:pPr>
      <w:r>
        <w:rPr>
          <w:rFonts w:hint="eastAsia" w:ascii="方正小标宋简体" w:hAnsi="宋体" w:eastAsia="方正小标宋简体"/>
          <w:sz w:val="32"/>
          <w:szCs w:val="32"/>
        </w:rPr>
        <w:t>申请机构：</w:t>
      </w:r>
      <w:r>
        <w:rPr>
          <w:rFonts w:ascii="方正小标宋简体" w:hAnsi="宋体" w:eastAsia="方正小标宋简体"/>
          <w:sz w:val="32"/>
          <w:szCs w:val="32"/>
        </w:rPr>
        <w:t>XXX公司（盖章）</w:t>
      </w:r>
    </w:p>
    <w:p w14:paraId="54E9708E">
      <w:pPr>
        <w:spacing w:line="560" w:lineRule="exact"/>
        <w:jc w:val="center"/>
        <w:rPr>
          <w:rFonts w:hint="eastAsia" w:ascii="方正小标宋简体" w:hAnsi="宋体" w:eastAsia="方正小标宋简体"/>
          <w:sz w:val="32"/>
          <w:szCs w:val="32"/>
        </w:rPr>
      </w:pPr>
      <w:r>
        <w:rPr>
          <w:rFonts w:ascii="方正小标宋简体" w:hAnsi="宋体" w:eastAsia="方正小标宋简体"/>
          <w:sz w:val="32"/>
          <w:szCs w:val="32"/>
        </w:rPr>
        <w:t>XXXX年XX月</w:t>
      </w:r>
    </w:p>
    <w:p w14:paraId="1A8FDD7E">
      <w:pPr>
        <w:spacing w:line="560" w:lineRule="exact"/>
        <w:jc w:val="center"/>
        <w:outlineLvl w:val="0"/>
        <w:rPr>
          <w:rFonts w:hint="eastAsia" w:ascii="黑体" w:hAnsi="黑体" w:eastAsia="黑体"/>
          <w:sz w:val="32"/>
          <w:szCs w:val="32"/>
        </w:rPr>
      </w:pPr>
    </w:p>
    <w:p w14:paraId="1C30DF73">
      <w:pPr>
        <w:widowControl/>
        <w:jc w:val="left"/>
        <w:rPr>
          <w:rFonts w:hint="eastAsia" w:ascii="黑体" w:hAnsi="黑体" w:eastAsia="黑体"/>
          <w:sz w:val="32"/>
          <w:szCs w:val="32"/>
        </w:rPr>
      </w:pPr>
      <w:r>
        <w:rPr>
          <w:rFonts w:ascii="黑体" w:hAnsi="黑体" w:eastAsia="黑体"/>
          <w:sz w:val="32"/>
          <w:szCs w:val="32"/>
        </w:rPr>
        <w:br w:type="page"/>
      </w:r>
    </w:p>
    <w:p w14:paraId="19F90CDB">
      <w:pPr>
        <w:spacing w:line="560" w:lineRule="exact"/>
        <w:ind w:firstLine="640" w:firstLineChars="200"/>
        <w:outlineLvl w:val="0"/>
        <w:rPr>
          <w:rFonts w:hint="eastAsia" w:ascii="黑体" w:hAnsi="黑体" w:eastAsia="黑体"/>
          <w:sz w:val="32"/>
          <w:szCs w:val="32"/>
        </w:rPr>
      </w:pPr>
      <w:r>
        <w:rPr>
          <w:rFonts w:hint="eastAsia" w:ascii="黑体" w:hAnsi="黑体" w:eastAsia="黑体"/>
          <w:sz w:val="32"/>
          <w:szCs w:val="32"/>
        </w:rPr>
        <w:t>一、基金设立背景与行业分析</w:t>
      </w:r>
    </w:p>
    <w:p w14:paraId="026EEB61">
      <w:pPr>
        <w:spacing w:line="560" w:lineRule="exact"/>
        <w:ind w:firstLine="640" w:firstLineChars="200"/>
        <w:outlineLvl w:val="0"/>
        <w:rPr>
          <w:rFonts w:hint="eastAsia" w:ascii="黑体" w:hAnsi="黑体" w:eastAsia="黑体"/>
          <w:sz w:val="32"/>
          <w:szCs w:val="32"/>
        </w:rPr>
      </w:pPr>
      <w:r>
        <w:rPr>
          <w:rFonts w:hint="eastAsia" w:ascii="黑体" w:hAnsi="黑体" w:eastAsia="黑体"/>
          <w:sz w:val="32"/>
          <w:szCs w:val="32"/>
        </w:rPr>
        <w:t>二、基金概况</w:t>
      </w:r>
    </w:p>
    <w:p w14:paraId="74489617">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（一）基金名称</w:t>
      </w:r>
    </w:p>
    <w:p w14:paraId="1FB2F6DB">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（二）基金管理机构</w:t>
      </w:r>
    </w:p>
    <w:p w14:paraId="2FB4FBC3">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（三）基金注册地址</w:t>
      </w:r>
    </w:p>
    <w:p w14:paraId="4D2B3743">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（四）基金规模</w:t>
      </w:r>
    </w:p>
    <w:p w14:paraId="0DF3F3DD">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（五）存续期限（须注明投资期和退出期）</w:t>
      </w:r>
    </w:p>
    <w:p w14:paraId="62DF15B0">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（六）基金组织形式及类型</w:t>
      </w:r>
    </w:p>
    <w:p w14:paraId="234FE7D1">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（七）申请种子基金出资额及比例</w:t>
      </w:r>
    </w:p>
    <w:p w14:paraId="4B7CFF76">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（八）基金投资领域（须注明具体行业）</w:t>
      </w:r>
    </w:p>
    <w:p w14:paraId="15613719">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（九）基金投资标的</w:t>
      </w:r>
    </w:p>
    <w:p w14:paraId="4D8B7CC5">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（十）基金投资地域</w:t>
      </w:r>
    </w:p>
    <w:p w14:paraId="7B3E5E5D">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（十一）基金投资限额</w:t>
      </w:r>
    </w:p>
    <w:p w14:paraId="22B71CF5">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（十二）管理费用（须注明计算基数和费率）</w:t>
      </w:r>
    </w:p>
    <w:p w14:paraId="65DEB08D">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（十三）收益分配</w:t>
      </w:r>
    </w:p>
    <w:p w14:paraId="2B28115A">
      <w:pPr>
        <w:spacing w:line="560" w:lineRule="exact"/>
        <w:ind w:firstLine="640" w:firstLineChars="200"/>
        <w:outlineLvl w:val="0"/>
        <w:rPr>
          <w:rFonts w:hint="eastAsia" w:ascii="黑体" w:hAnsi="黑体" w:eastAsia="黑体"/>
          <w:sz w:val="32"/>
          <w:szCs w:val="32"/>
        </w:rPr>
      </w:pPr>
      <w:r>
        <w:rPr>
          <w:rFonts w:hint="eastAsia" w:ascii="黑体" w:hAnsi="黑体" w:eastAsia="黑体"/>
          <w:sz w:val="32"/>
          <w:szCs w:val="32"/>
        </w:rPr>
        <w:t>三、基金出资人</w:t>
      </w:r>
    </w:p>
    <w:p w14:paraId="3B2E7466">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（一）基金出资架构：以表格形式列出已基本确定的出资人类型、出资人名称、认缴出资金额、出资比例等情况，以及剩余资金的募集计划及时间安排。</w:t>
      </w:r>
    </w:p>
    <w:p w14:paraId="00344A92">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（二）出资人介绍：按顺序依次介绍基石投资人和其它出资人（机构或个人）的概况，如出资涉及监管部门监管或审批，需说明相关监管事项和对审批时间的预估。</w:t>
      </w:r>
    </w:p>
    <w:p w14:paraId="711D6A86">
      <w:pPr>
        <w:spacing w:line="560" w:lineRule="exact"/>
        <w:ind w:firstLine="640" w:firstLineChars="200"/>
        <w:outlineLvl w:val="0"/>
        <w:rPr>
          <w:rFonts w:hint="eastAsia" w:ascii="黑体" w:hAnsi="黑体" w:eastAsia="黑体"/>
          <w:sz w:val="32"/>
          <w:szCs w:val="32"/>
        </w:rPr>
      </w:pPr>
      <w:r>
        <w:rPr>
          <w:rFonts w:hint="eastAsia" w:ascii="黑体" w:hAnsi="黑体" w:eastAsia="黑体"/>
          <w:sz w:val="32"/>
          <w:szCs w:val="32"/>
        </w:rPr>
        <w:t>四、基金管理机构和团队</w:t>
      </w:r>
    </w:p>
    <w:p w14:paraId="108C8C52">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（一）基金管理机构</w:t>
      </w:r>
    </w:p>
    <w:p w14:paraId="7AEFEE64">
      <w:pPr>
        <w:spacing w:line="560" w:lineRule="exact"/>
        <w:ind w:firstLine="640" w:firstLineChars="200"/>
        <w:outlineLvl w:val="0"/>
        <w:rPr>
          <w:rFonts w:hint="eastAsia" w:ascii="仿宋_GB2312" w:hAnsi="宋体" w:eastAsia="仿宋_GB2312"/>
          <w:sz w:val="32"/>
          <w:szCs w:val="32"/>
        </w:rPr>
      </w:pPr>
      <w:r>
        <w:rPr>
          <w:rFonts w:ascii="仿宋_GB2312" w:hAnsi="宋体" w:eastAsia="仿宋_GB2312"/>
          <w:sz w:val="32"/>
          <w:szCs w:val="32"/>
        </w:rPr>
        <w:t>1.基金管理机构工商注册信息、</w:t>
      </w:r>
      <w:bookmarkStart w:id="2" w:name="_Hlk31973876"/>
      <w:r>
        <w:rPr>
          <w:rFonts w:ascii="仿宋_GB2312" w:hAnsi="宋体" w:eastAsia="仿宋_GB2312"/>
          <w:sz w:val="32"/>
          <w:szCs w:val="32"/>
        </w:rPr>
        <w:t>注册资本与</w:t>
      </w:r>
      <w:r>
        <w:rPr>
          <w:rFonts w:hint="eastAsia" w:ascii="仿宋_GB2312" w:hAnsi="宋体" w:eastAsia="仿宋_GB2312"/>
          <w:sz w:val="32"/>
          <w:szCs w:val="32"/>
        </w:rPr>
        <w:t>实缴</w:t>
      </w:r>
      <w:r>
        <w:rPr>
          <w:rFonts w:ascii="仿宋_GB2312" w:hAnsi="宋体" w:eastAsia="仿宋_GB2312"/>
          <w:sz w:val="32"/>
          <w:szCs w:val="32"/>
        </w:rPr>
        <w:t>资本</w:t>
      </w:r>
      <w:bookmarkEnd w:id="2"/>
      <w:r>
        <w:rPr>
          <w:rFonts w:ascii="仿宋_GB2312" w:hAnsi="宋体" w:eastAsia="仿宋_GB2312"/>
          <w:sz w:val="32"/>
          <w:szCs w:val="32"/>
        </w:rPr>
        <w:t>、历史</w:t>
      </w:r>
      <w:r>
        <w:rPr>
          <w:rFonts w:hint="eastAsia" w:ascii="仿宋_GB2312" w:hAnsi="宋体" w:eastAsia="仿宋_GB2312"/>
          <w:sz w:val="32"/>
          <w:szCs w:val="32"/>
        </w:rPr>
        <w:t>沿革等；</w:t>
      </w:r>
    </w:p>
    <w:p w14:paraId="619972E7">
      <w:pPr>
        <w:spacing w:line="560" w:lineRule="exact"/>
        <w:ind w:firstLine="640" w:firstLineChars="200"/>
        <w:outlineLvl w:val="0"/>
        <w:rPr>
          <w:rFonts w:hint="eastAsia" w:ascii="仿宋_GB2312" w:hAnsi="宋体" w:eastAsia="仿宋_GB2312"/>
          <w:sz w:val="32"/>
          <w:szCs w:val="32"/>
        </w:rPr>
      </w:pPr>
      <w:r>
        <w:rPr>
          <w:rFonts w:ascii="仿宋_GB2312" w:hAnsi="宋体" w:eastAsia="仿宋_GB2312"/>
          <w:sz w:val="32"/>
          <w:szCs w:val="32"/>
        </w:rPr>
        <w:t>2.</w:t>
      </w:r>
      <w:bookmarkStart w:id="3" w:name="_Hlk31973803"/>
      <w:r>
        <w:rPr>
          <w:rFonts w:ascii="仿宋_GB2312" w:hAnsi="宋体" w:eastAsia="仿宋_GB2312"/>
          <w:sz w:val="32"/>
          <w:szCs w:val="32"/>
        </w:rPr>
        <w:t>股权结构、实际控制人：图表配合文字详细说明</w:t>
      </w:r>
      <w:bookmarkEnd w:id="3"/>
      <w:r>
        <w:rPr>
          <w:rFonts w:hint="eastAsia" w:ascii="仿宋_GB2312" w:hAnsi="宋体" w:eastAsia="仿宋_GB2312"/>
          <w:sz w:val="32"/>
          <w:szCs w:val="32"/>
        </w:rPr>
        <w:t>；</w:t>
      </w:r>
    </w:p>
    <w:p w14:paraId="56D9FC6E">
      <w:pPr>
        <w:spacing w:line="560" w:lineRule="exact"/>
        <w:ind w:firstLine="640" w:firstLineChars="200"/>
        <w:outlineLvl w:val="0"/>
        <w:rPr>
          <w:rFonts w:hint="eastAsia" w:ascii="仿宋_GB2312" w:hAnsi="宋体" w:eastAsia="仿宋_GB2312"/>
          <w:sz w:val="32"/>
          <w:szCs w:val="32"/>
        </w:rPr>
      </w:pPr>
      <w:r>
        <w:rPr>
          <w:rFonts w:ascii="仿宋_GB2312" w:hAnsi="宋体" w:eastAsia="仿宋_GB2312"/>
          <w:sz w:val="32"/>
          <w:szCs w:val="32"/>
        </w:rPr>
        <w:t>3.内部治理架构：</w:t>
      </w:r>
      <w:r>
        <w:rPr>
          <w:rFonts w:hint="eastAsia" w:ascii="仿宋_GB2312" w:hAnsi="仿宋" w:eastAsia="仿宋_GB2312"/>
          <w:sz w:val="32"/>
          <w:szCs w:val="32"/>
        </w:rPr>
        <w:t>管理和投资运作规范，具有完整的投资决策程序、全面的风险控制机制和健全的财务管理制度；</w:t>
      </w:r>
    </w:p>
    <w:p w14:paraId="03B5F31D">
      <w:pPr>
        <w:spacing w:line="560" w:lineRule="exact"/>
        <w:ind w:firstLine="640" w:firstLineChars="200"/>
        <w:outlineLvl w:val="0"/>
        <w:rPr>
          <w:rFonts w:hint="eastAsia" w:ascii="仿宋_GB2312" w:hAnsi="宋体" w:eastAsia="仿宋_GB2312"/>
          <w:sz w:val="32"/>
          <w:szCs w:val="32"/>
        </w:rPr>
      </w:pPr>
      <w:bookmarkStart w:id="4" w:name="_Hlk31979876"/>
      <w:r>
        <w:rPr>
          <w:rFonts w:ascii="仿宋_GB2312" w:hAnsi="宋体" w:eastAsia="仿宋_GB2312"/>
          <w:sz w:val="32"/>
          <w:szCs w:val="32"/>
        </w:rPr>
        <w:t>4.管理机构全体成员列表：图表配合文字详细说明，全体成员列表应</w:t>
      </w:r>
      <w:bookmarkStart w:id="5" w:name="_Hlk31975984"/>
      <w:r>
        <w:rPr>
          <w:rFonts w:ascii="仿宋_GB2312" w:hAnsi="宋体" w:eastAsia="仿宋_GB2312"/>
          <w:sz w:val="32"/>
          <w:szCs w:val="32"/>
        </w:rPr>
        <w:t>包括</w:t>
      </w:r>
      <w:bookmarkStart w:id="6" w:name="_Hlk31972247"/>
      <w:bookmarkStart w:id="7" w:name="_Hlk31975846"/>
      <w:r>
        <w:rPr>
          <w:rFonts w:hint="eastAsia" w:ascii="仿宋_GB2312" w:hAnsi="宋体" w:eastAsia="仿宋_GB2312"/>
          <w:sz w:val="32"/>
          <w:szCs w:val="32"/>
        </w:rPr>
        <w:t>但不限于</w:t>
      </w:r>
      <w:bookmarkEnd w:id="6"/>
      <w:r>
        <w:rPr>
          <w:rFonts w:ascii="仿宋_GB2312" w:hAnsi="宋体" w:eastAsia="仿宋_GB2312"/>
          <w:sz w:val="32"/>
          <w:szCs w:val="32"/>
        </w:rPr>
        <w:t>姓名、职务、年龄、</w:t>
      </w:r>
      <w:r>
        <w:rPr>
          <w:rFonts w:hint="eastAsia" w:ascii="仿宋_GB2312" w:hAnsi="宋体" w:eastAsia="仿宋_GB2312"/>
          <w:sz w:val="32"/>
          <w:szCs w:val="32"/>
        </w:rPr>
        <w:t>教育背景</w:t>
      </w:r>
      <w:r>
        <w:rPr>
          <w:rFonts w:ascii="仿宋_GB2312" w:hAnsi="宋体" w:eastAsia="仿宋_GB2312"/>
          <w:sz w:val="32"/>
          <w:szCs w:val="32"/>
        </w:rPr>
        <w:t>、</w:t>
      </w:r>
      <w:r>
        <w:rPr>
          <w:rFonts w:hint="eastAsia" w:ascii="仿宋_GB2312" w:hAnsi="宋体" w:eastAsia="仿宋_GB2312"/>
          <w:sz w:val="32"/>
          <w:szCs w:val="32"/>
        </w:rPr>
        <w:t>职业经历、</w:t>
      </w:r>
      <w:r>
        <w:rPr>
          <w:rFonts w:ascii="仿宋_GB2312" w:hAnsi="宋体" w:eastAsia="仿宋_GB2312"/>
          <w:sz w:val="32"/>
          <w:szCs w:val="32"/>
        </w:rPr>
        <w:t>加入团队时间、</w:t>
      </w:r>
      <w:r>
        <w:rPr>
          <w:rFonts w:hint="eastAsia" w:ascii="仿宋_GB2312" w:hAnsi="宋体" w:eastAsia="仿宋_GB2312"/>
          <w:sz w:val="32"/>
          <w:szCs w:val="32"/>
        </w:rPr>
        <w:t>职责</w:t>
      </w:r>
      <w:r>
        <w:rPr>
          <w:rFonts w:ascii="仿宋_GB2312" w:hAnsi="宋体" w:eastAsia="仿宋_GB2312"/>
          <w:sz w:val="32"/>
          <w:szCs w:val="32"/>
        </w:rPr>
        <w:t>分工情况、共同合作经历</w:t>
      </w:r>
      <w:r>
        <w:rPr>
          <w:rFonts w:hint="eastAsia" w:ascii="仿宋_GB2312" w:hAnsi="宋体" w:eastAsia="仿宋_GB2312"/>
          <w:sz w:val="32"/>
          <w:szCs w:val="32"/>
        </w:rPr>
        <w:t>、</w:t>
      </w:r>
      <w:r>
        <w:rPr>
          <w:rFonts w:ascii="仿宋_GB2312" w:hAnsi="仿宋" w:eastAsia="仿宋_GB2312"/>
          <w:sz w:val="32"/>
          <w:szCs w:val="32"/>
        </w:rPr>
        <w:t>常驻深圳办公或在深圳缴纳社保</w:t>
      </w:r>
      <w:r>
        <w:rPr>
          <w:rFonts w:hint="eastAsia" w:ascii="仿宋_GB2312" w:hAnsi="仿宋" w:eastAsia="仿宋_GB2312"/>
          <w:sz w:val="32"/>
          <w:szCs w:val="32"/>
        </w:rPr>
        <w:t>情况、所获荣誉、代表案例</w:t>
      </w:r>
      <w:r>
        <w:rPr>
          <w:rFonts w:ascii="仿宋_GB2312" w:hAnsi="宋体" w:eastAsia="仿宋_GB2312"/>
          <w:sz w:val="32"/>
          <w:szCs w:val="32"/>
        </w:rPr>
        <w:t>等内容</w:t>
      </w:r>
      <w:bookmarkEnd w:id="4"/>
      <w:bookmarkEnd w:id="5"/>
      <w:bookmarkEnd w:id="7"/>
      <w:r>
        <w:rPr>
          <w:rFonts w:hint="eastAsia" w:ascii="仿宋_GB2312" w:hAnsi="宋体" w:eastAsia="仿宋_GB2312"/>
          <w:sz w:val="32"/>
          <w:szCs w:val="32"/>
        </w:rPr>
        <w:t>；</w:t>
      </w:r>
    </w:p>
    <w:p w14:paraId="763C4944">
      <w:pPr>
        <w:spacing w:line="560" w:lineRule="exact"/>
        <w:ind w:firstLine="640" w:firstLineChars="200"/>
        <w:outlineLvl w:val="0"/>
        <w:rPr>
          <w:rFonts w:hint="eastAsia" w:ascii="仿宋_GB2312" w:hAnsi="宋体" w:eastAsia="仿宋_GB2312"/>
          <w:sz w:val="32"/>
          <w:szCs w:val="32"/>
        </w:rPr>
      </w:pPr>
      <w:r>
        <w:rPr>
          <w:rFonts w:ascii="仿宋_GB2312" w:hAnsi="宋体" w:eastAsia="仿宋_GB2312"/>
          <w:sz w:val="32"/>
          <w:szCs w:val="32"/>
        </w:rPr>
        <w:t>5.子基金管理机构需提供以下内容之一：</w:t>
      </w:r>
    </w:p>
    <w:p w14:paraId="01D3BC94">
      <w:pPr>
        <w:spacing w:line="560" w:lineRule="exact"/>
        <w:ind w:firstLine="640" w:firstLineChars="200"/>
        <w:outlineLvl w:val="0"/>
        <w:rPr>
          <w:rFonts w:ascii="仿宋_GB2312" w:eastAsia="仿宋_GB2312"/>
          <w:sz w:val="32"/>
        </w:rPr>
      </w:pPr>
      <w:r>
        <w:rPr>
          <w:rFonts w:ascii="仿宋_GB2312" w:eastAsia="仿宋_GB2312"/>
          <w:sz w:val="32"/>
        </w:rPr>
        <w:t>(1)</w:t>
      </w:r>
      <w:r>
        <w:rPr>
          <w:rFonts w:hint="eastAsia" w:ascii="仿宋_GB2312" w:eastAsia="仿宋_GB2312"/>
          <w:sz w:val="32"/>
          <w:szCs w:val="32"/>
        </w:rPr>
        <w:t>子基金管理机构（含其主要股东或控股子公司）最近3年受托管理的基金总额或者管理团队核心成员参与管理的已实缴投资的项目资金总额不低于2亿元的相关情况列表；子基金管理团队核心成员至少累计主导过3个（含）股权投资成功案例</w:t>
      </w:r>
      <w:r>
        <w:rPr>
          <w:rFonts w:hint="eastAsia" w:ascii="仿宋_GB2312" w:hAnsi="微软雅黑" w:eastAsia="仿宋_GB2312" w:cs="宋体"/>
          <w:kern w:val="0"/>
          <w:sz w:val="32"/>
          <w:szCs w:val="32"/>
        </w:rPr>
        <w:t>的相关情况列表</w:t>
      </w:r>
      <w:r>
        <w:rPr>
          <w:rFonts w:hint="eastAsia" w:ascii="仿宋_GB2312" w:eastAsia="仿宋_GB2312"/>
          <w:sz w:val="32"/>
          <w:szCs w:val="32"/>
        </w:rPr>
        <w:t>；</w:t>
      </w:r>
    </w:p>
    <w:p w14:paraId="32F62B72">
      <w:pPr>
        <w:spacing w:line="560" w:lineRule="exact"/>
        <w:ind w:firstLine="640" w:firstLineChars="200"/>
        <w:outlineLvl w:val="0"/>
        <w:rPr>
          <w:rFonts w:hint="eastAsia" w:ascii="仿宋_GB2312" w:hAnsi="宋体" w:eastAsia="仿宋_GB2312"/>
          <w:sz w:val="32"/>
          <w:szCs w:val="32"/>
        </w:rPr>
      </w:pPr>
      <w:r>
        <w:rPr>
          <w:rFonts w:ascii="仿宋_GB2312" w:eastAsia="仿宋_GB2312"/>
          <w:sz w:val="32"/>
        </w:rPr>
        <w:t>(</w:t>
      </w:r>
      <w:r>
        <w:rPr>
          <w:rFonts w:hint="eastAsia" w:ascii="仿宋_GB2312" w:eastAsia="仿宋_GB2312"/>
          <w:sz w:val="32"/>
        </w:rPr>
        <w:t>2</w:t>
      </w:r>
      <w:r>
        <w:rPr>
          <w:rFonts w:ascii="仿宋_GB2312" w:eastAsia="仿宋_GB2312"/>
          <w:sz w:val="32"/>
        </w:rPr>
        <w:t>)</w:t>
      </w:r>
      <w:r>
        <w:rPr>
          <w:rFonts w:hint="eastAsia" w:ascii="仿宋_GB2312" w:eastAsia="仿宋_GB2312"/>
          <w:sz w:val="32"/>
        </w:rPr>
        <w:t>子基金管理机构（含其主要股东、实际控制人或控股子公司）为国内外知名高等院校、科研院所、重点实验室等技术源头单位或国际知名技术转移机构等科技成果转化机构的，该单位最近5年内科技成果转化项目或技术转移项目融资总金额累计不低于1亿元人民币（或等值货币）的相关情况列表</w:t>
      </w:r>
      <w:r>
        <w:rPr>
          <w:rFonts w:ascii="仿宋_GB2312" w:eastAsia="仿宋_GB2312"/>
          <w:sz w:val="32"/>
        </w:rPr>
        <w:t>；</w:t>
      </w:r>
    </w:p>
    <w:p w14:paraId="735E30D2">
      <w:pPr>
        <w:spacing w:line="560" w:lineRule="exact"/>
        <w:ind w:firstLine="640" w:firstLineChars="200"/>
        <w:outlineLvl w:val="0"/>
        <w:rPr>
          <w:rFonts w:hint="eastAsia" w:ascii="仿宋_GB2312" w:hAnsi="微软雅黑" w:eastAsia="仿宋_GB2312" w:cs="宋体"/>
          <w:kern w:val="0"/>
          <w:sz w:val="32"/>
          <w:szCs w:val="32"/>
        </w:rPr>
      </w:pPr>
      <w:r>
        <w:rPr>
          <w:rFonts w:ascii="仿宋_GB2312" w:eastAsia="仿宋_GB2312"/>
          <w:sz w:val="32"/>
        </w:rPr>
        <w:t>(</w:t>
      </w:r>
      <w:r>
        <w:rPr>
          <w:rFonts w:hint="eastAsia" w:ascii="仿宋_GB2312" w:eastAsia="仿宋_GB2312"/>
          <w:sz w:val="32"/>
        </w:rPr>
        <w:t>3</w:t>
      </w:r>
      <w:r>
        <w:rPr>
          <w:rFonts w:ascii="仿宋_GB2312" w:eastAsia="仿宋_GB2312"/>
          <w:sz w:val="32"/>
        </w:rPr>
        <w:t>)</w:t>
      </w:r>
      <w:r>
        <w:rPr>
          <w:rFonts w:hint="eastAsia" w:ascii="仿宋_GB2312" w:hAnsi="微软雅黑" w:eastAsia="仿宋_GB2312" w:cs="宋体"/>
          <w:kern w:val="0"/>
          <w:sz w:val="32"/>
          <w:szCs w:val="32"/>
        </w:rPr>
        <w:t>子基金管理机构（含其主要股东、实际控制人或控股子公司）为国家/省/市级科技企业孵化器等协助科技成果转化单位的，最近5年内与该单位签订含有融资服务条款协议的企业在签订协议后获得的投资金额累计不低于1亿元人民币（或等值货币）的相关情况列表</w:t>
      </w:r>
      <w:r>
        <w:rPr>
          <w:rFonts w:ascii="仿宋_GB2312" w:hAnsi="微软雅黑" w:eastAsia="仿宋_GB2312" w:cs="宋体"/>
          <w:kern w:val="0"/>
          <w:sz w:val="32"/>
          <w:szCs w:val="32"/>
        </w:rPr>
        <w:t>。</w:t>
      </w:r>
      <w:r>
        <w:rPr>
          <w:rFonts w:hint="eastAsia" w:ascii="仿宋_GB2312" w:hAnsi="微软雅黑" w:eastAsia="仿宋_GB2312" w:cs="宋体"/>
          <w:kern w:val="0"/>
          <w:sz w:val="32"/>
          <w:szCs w:val="32"/>
        </w:rPr>
        <w:t>为落实好深圳市政府和主管部门的产业发展战略，管理公司可向子基金管理机构提出其他附加条件。</w:t>
      </w:r>
    </w:p>
    <w:p w14:paraId="392D022E">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（二）基金管理团队</w:t>
      </w:r>
    </w:p>
    <w:p w14:paraId="0EB9813F">
      <w:pPr>
        <w:spacing w:line="560" w:lineRule="exact"/>
        <w:ind w:firstLine="640" w:firstLineChars="200"/>
        <w:outlineLvl w:val="0"/>
        <w:rPr>
          <w:rFonts w:hint="eastAsia" w:ascii="仿宋_GB2312" w:hAnsi="宋体" w:eastAsia="仿宋_GB2312"/>
          <w:sz w:val="32"/>
          <w:szCs w:val="32"/>
        </w:rPr>
      </w:pPr>
      <w:r>
        <w:rPr>
          <w:rFonts w:ascii="仿宋_GB2312" w:hAnsi="宋体" w:eastAsia="仿宋_GB2312"/>
          <w:sz w:val="32"/>
          <w:szCs w:val="32"/>
        </w:rPr>
        <w:t>1.按顺序依次阐述</w:t>
      </w:r>
      <w:r>
        <w:rPr>
          <w:rFonts w:hint="eastAsia" w:ascii="仿宋_GB2312" w:hAnsi="宋体" w:eastAsia="仿宋_GB2312"/>
          <w:sz w:val="32"/>
          <w:szCs w:val="32"/>
        </w:rPr>
        <w:t>子</w:t>
      </w:r>
      <w:r>
        <w:rPr>
          <w:rFonts w:ascii="仿宋_GB2312" w:hAnsi="宋体" w:eastAsia="仿宋_GB2312"/>
          <w:sz w:val="32"/>
          <w:szCs w:val="32"/>
        </w:rPr>
        <w:t>基金主要管理人员详细资料及履历、管理各类基金情况、主要项目投资案例及参与程度</w:t>
      </w:r>
      <w:r>
        <w:rPr>
          <w:rFonts w:hint="eastAsia" w:ascii="仿宋_GB2312" w:hAnsi="宋体" w:eastAsia="仿宋_GB2312"/>
          <w:sz w:val="32"/>
          <w:szCs w:val="32"/>
        </w:rPr>
        <w:t>；</w:t>
      </w:r>
    </w:p>
    <w:p w14:paraId="7D9FFBE4">
      <w:pPr>
        <w:spacing w:line="560" w:lineRule="exact"/>
        <w:ind w:firstLine="640" w:firstLineChars="200"/>
        <w:outlineLvl w:val="0"/>
        <w:rPr>
          <w:rFonts w:hint="eastAsia" w:ascii="仿宋_GB2312" w:hAnsi="宋体" w:eastAsia="仿宋_GB2312"/>
          <w:sz w:val="32"/>
          <w:szCs w:val="32"/>
        </w:rPr>
      </w:pPr>
      <w:r>
        <w:rPr>
          <w:rFonts w:ascii="仿宋_GB2312" w:hAnsi="宋体" w:eastAsia="仿宋_GB2312"/>
          <w:sz w:val="32"/>
          <w:szCs w:val="32"/>
        </w:rPr>
        <w:t>2.提供主要管理人员之间的合作经历</w:t>
      </w:r>
      <w:r>
        <w:rPr>
          <w:rFonts w:hint="eastAsia" w:ascii="仿宋_GB2312" w:hAnsi="宋体" w:eastAsia="仿宋_GB2312"/>
          <w:sz w:val="32"/>
          <w:szCs w:val="32"/>
        </w:rPr>
        <w:t>；</w:t>
      </w:r>
    </w:p>
    <w:p w14:paraId="7D8F47E5">
      <w:pPr>
        <w:spacing w:line="560" w:lineRule="exact"/>
        <w:ind w:firstLine="640" w:firstLineChars="200"/>
        <w:outlineLvl w:val="0"/>
        <w:rPr>
          <w:rFonts w:hint="eastAsia" w:ascii="仿宋_GB2312" w:hAnsi="宋体" w:eastAsia="仿宋_GB2312"/>
          <w:sz w:val="32"/>
          <w:szCs w:val="32"/>
        </w:rPr>
      </w:pPr>
      <w:r>
        <w:rPr>
          <w:rFonts w:ascii="仿宋_GB2312" w:hAnsi="宋体" w:eastAsia="仿宋_GB2312"/>
          <w:sz w:val="32"/>
          <w:szCs w:val="32"/>
        </w:rPr>
        <w:t>3.管理团队投资项目列表，应按</w:t>
      </w:r>
      <w:r>
        <w:rPr>
          <w:rFonts w:hint="eastAsia" w:ascii="仿宋_GB2312" w:hAnsi="宋体" w:eastAsia="仿宋_GB2312"/>
          <w:sz w:val="32"/>
          <w:szCs w:val="32"/>
        </w:rPr>
        <w:t>种子</w:t>
      </w:r>
      <w:r>
        <w:rPr>
          <w:rFonts w:ascii="仿宋_GB2312" w:hAnsi="宋体" w:eastAsia="仿宋_GB2312"/>
          <w:sz w:val="32"/>
          <w:szCs w:val="32"/>
        </w:rPr>
        <w:t>项目及其它分类，详细列出已投资项目名称、投资时间、投资金额、团队主要成员参与角色等</w:t>
      </w:r>
      <w:r>
        <w:rPr>
          <w:rFonts w:hint="eastAsia" w:ascii="仿宋_GB2312" w:hAnsi="宋体" w:eastAsia="仿宋_GB2312"/>
          <w:sz w:val="32"/>
          <w:szCs w:val="32"/>
        </w:rPr>
        <w:t>；</w:t>
      </w:r>
    </w:p>
    <w:p w14:paraId="7CC615F2">
      <w:pPr>
        <w:spacing w:line="560" w:lineRule="exact"/>
        <w:ind w:firstLine="640" w:firstLineChars="200"/>
        <w:outlineLvl w:val="0"/>
        <w:rPr>
          <w:rFonts w:hint="eastAsia" w:ascii="仿宋_GB2312" w:hAnsi="宋体" w:eastAsia="仿宋_GB2312"/>
          <w:sz w:val="32"/>
          <w:szCs w:val="32"/>
        </w:rPr>
      </w:pPr>
      <w:r>
        <w:rPr>
          <w:rFonts w:ascii="仿宋_GB2312" w:hAnsi="宋体" w:eastAsia="仿宋_GB2312"/>
          <w:sz w:val="32"/>
          <w:szCs w:val="32"/>
        </w:rPr>
        <w:t>4.基金关键人安排</w:t>
      </w:r>
      <w:r>
        <w:rPr>
          <w:rFonts w:hint="eastAsia" w:ascii="仿宋_GB2312" w:hAnsi="宋体" w:eastAsia="仿宋_GB2312"/>
          <w:sz w:val="32"/>
          <w:szCs w:val="32"/>
        </w:rPr>
        <w:t>；</w:t>
      </w:r>
    </w:p>
    <w:p w14:paraId="5644EB8F">
      <w:pPr>
        <w:spacing w:line="560" w:lineRule="exact"/>
        <w:ind w:firstLine="640" w:firstLineChars="200"/>
        <w:outlineLvl w:val="0"/>
        <w:rPr>
          <w:rFonts w:hint="eastAsia" w:ascii="仿宋_GB2312" w:hAnsi="微软雅黑" w:eastAsia="仿宋_GB2312" w:cs="宋体"/>
          <w:kern w:val="0"/>
          <w:sz w:val="32"/>
          <w:szCs w:val="32"/>
        </w:rPr>
      </w:pPr>
      <w:r>
        <w:rPr>
          <w:rFonts w:ascii="仿宋_GB2312" w:hAnsi="宋体" w:eastAsia="仿宋_GB2312"/>
          <w:sz w:val="32"/>
          <w:szCs w:val="32"/>
        </w:rPr>
        <w:t>5.</w:t>
      </w:r>
      <w:r>
        <w:rPr>
          <w:rFonts w:hint="eastAsia" w:ascii="仿宋_GB2312" w:hAnsi="宋体" w:eastAsia="仿宋_GB2312"/>
          <w:sz w:val="32"/>
          <w:szCs w:val="32"/>
        </w:rPr>
        <w:t>若选择以基金规模及成功案例认定投资能力的，请提供以下内容：</w:t>
      </w:r>
      <w:bookmarkStart w:id="8" w:name="_Hlk31979771"/>
      <w:r>
        <w:rPr>
          <w:rFonts w:hint="eastAsia" w:ascii="仿宋_GB2312" w:hAnsi="宋体" w:eastAsia="仿宋_GB2312"/>
          <w:sz w:val="32"/>
          <w:szCs w:val="32"/>
        </w:rPr>
        <w:t>子基金管理机构（含其主要股东或控股子公司）最近3年受托管理的基金总额或者管理团队核心成员参与管理的已实缴投资的项目资金总额不低于2亿元。子基金管理团队核心成员至少累计主导过3个（含）股权投资成功案例。受托管理的基金情况列表包括：基金名称、注册地、认缴规模、实缴规模、投资领域、投资阶段、投资项目数量及金额（按种子项目和其它分类）、退出项目数量及金额（按种子项目和其它分类）、退出方式、基金IRR等；</w:t>
      </w:r>
      <w:r>
        <w:rPr>
          <w:rFonts w:hint="eastAsia" w:ascii="仿宋_GB2312" w:hAnsi="微软雅黑" w:eastAsia="仿宋_GB2312" w:cs="宋体"/>
          <w:kern w:val="0"/>
          <w:sz w:val="32"/>
          <w:szCs w:val="32"/>
        </w:rPr>
        <w:t>成功案例列表包括：项目名称、项目所属基金、投资金额及投资日期、退出金额及</w:t>
      </w:r>
      <w:r>
        <w:rPr>
          <w:rFonts w:ascii="仿宋_GB2312" w:hAnsi="微软雅黑" w:eastAsia="仿宋_GB2312" w:cs="宋体"/>
          <w:kern w:val="0"/>
          <w:sz w:val="32"/>
          <w:szCs w:val="32"/>
        </w:rPr>
        <w:t>退出</w:t>
      </w:r>
      <w:r>
        <w:rPr>
          <w:rFonts w:hint="eastAsia" w:ascii="仿宋_GB2312" w:hAnsi="微软雅黑" w:eastAsia="仿宋_GB2312" w:cs="宋体"/>
          <w:kern w:val="0"/>
          <w:sz w:val="32"/>
          <w:szCs w:val="32"/>
        </w:rPr>
        <w:t>日期、退出方式、投资阶段、</w:t>
      </w:r>
      <w:r>
        <w:rPr>
          <w:rFonts w:ascii="仿宋_GB2312" w:hAnsi="微软雅黑" w:eastAsia="仿宋_GB2312" w:cs="宋体"/>
          <w:kern w:val="0"/>
          <w:sz w:val="32"/>
          <w:szCs w:val="32"/>
        </w:rPr>
        <w:t>目前持有价值、投资收益</w:t>
      </w:r>
      <w:r>
        <w:rPr>
          <w:rFonts w:hint="eastAsia" w:ascii="仿宋_GB2312" w:hAnsi="微软雅黑" w:eastAsia="仿宋_GB2312" w:cs="宋体"/>
          <w:kern w:val="0"/>
          <w:sz w:val="32"/>
          <w:szCs w:val="32"/>
        </w:rPr>
        <w:t>等，并简要介绍该成功案例的项目情况（项目</w:t>
      </w:r>
      <w:r>
        <w:rPr>
          <w:rFonts w:ascii="仿宋_GB2312" w:hAnsi="微软雅黑" w:eastAsia="仿宋_GB2312" w:cs="宋体"/>
          <w:kern w:val="0"/>
          <w:sz w:val="32"/>
          <w:szCs w:val="32"/>
        </w:rPr>
        <w:t>/产品的介绍、核心竞争优势、</w:t>
      </w:r>
      <w:r>
        <w:rPr>
          <w:rFonts w:hint="eastAsia" w:ascii="仿宋_GB2312" w:hAnsi="微软雅黑" w:eastAsia="仿宋_GB2312" w:cs="宋体"/>
          <w:kern w:val="0"/>
          <w:sz w:val="32"/>
          <w:szCs w:val="32"/>
        </w:rPr>
        <w:t>其他主要投资者、满足成功案例的哪项认定标准等）。</w:t>
      </w:r>
    </w:p>
    <w:bookmarkEnd w:id="8"/>
    <w:p w14:paraId="2D0DB686">
      <w:pPr>
        <w:spacing w:line="560" w:lineRule="exact"/>
        <w:ind w:firstLine="640" w:firstLineChars="200"/>
        <w:outlineLvl w:val="0"/>
        <w:rPr>
          <w:rFonts w:hint="eastAsia" w:ascii="黑体" w:hAnsi="黑体" w:eastAsia="黑体"/>
          <w:sz w:val="32"/>
          <w:szCs w:val="32"/>
        </w:rPr>
      </w:pPr>
      <w:r>
        <w:rPr>
          <w:rFonts w:hint="eastAsia" w:ascii="黑体" w:hAnsi="黑体" w:eastAsia="黑体"/>
          <w:sz w:val="32"/>
          <w:szCs w:val="32"/>
        </w:rPr>
        <w:t>五、基金管理和运行</w:t>
      </w:r>
    </w:p>
    <w:p w14:paraId="022009E6">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（一）基金治理架构：基金股东会与董事会、合伙人会议与投资决策委员会、咨询委员会（如有）权责划分。</w:t>
      </w:r>
    </w:p>
    <w:p w14:paraId="22288084">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（二）基金投资策略：说明投资领域、阶段、地域、限制、闲置资金使用等。</w:t>
      </w:r>
    </w:p>
    <w:p w14:paraId="06D71822">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（三）项目遴选程序：结合基金投资方向及团队构成特点，说明项目来源、项目遴选机制。</w:t>
      </w:r>
    </w:p>
    <w:p w14:paraId="04C5821C">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（四）投资决策机制：详细说明决策机构的组成、决策方式、决策程序、表决机制、关联交易处理方式、种子基金相关权益的特别约定等。</w:t>
      </w:r>
    </w:p>
    <w:p w14:paraId="281D10AA">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（五）增值服务</w:t>
      </w:r>
      <w:r>
        <w:rPr>
          <w:rFonts w:ascii="仿宋_GB2312" w:hAnsi="宋体" w:eastAsia="仿宋_GB2312"/>
          <w:sz w:val="32"/>
          <w:szCs w:val="32"/>
        </w:rPr>
        <w:t>:结合基金投资方向及团队构成特点，详细说明所能提供的增值服务，并举例说明。</w:t>
      </w:r>
    </w:p>
    <w:p w14:paraId="7E150ED7">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（六）风险防范：结合基金投资方向及团队构成特点，列出子基金可能出现的风险，并对可能出现的风险提出应对措施。</w:t>
      </w:r>
    </w:p>
    <w:p w14:paraId="08E73A15">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（七）投资退出：结合基金投资方向及团队构成特点说明退出策略。</w:t>
      </w:r>
    </w:p>
    <w:p w14:paraId="29ABE15E">
      <w:pPr>
        <w:spacing w:line="560" w:lineRule="exact"/>
        <w:ind w:firstLine="640" w:firstLineChars="200"/>
        <w:outlineLvl w:val="0"/>
        <w:rPr>
          <w:rFonts w:hint="eastAsia" w:ascii="黑体" w:hAnsi="黑体" w:eastAsia="黑体"/>
          <w:sz w:val="32"/>
          <w:szCs w:val="32"/>
        </w:rPr>
      </w:pPr>
      <w:r>
        <w:rPr>
          <w:rFonts w:hint="eastAsia" w:ascii="黑体" w:hAnsi="黑体" w:eastAsia="黑体"/>
          <w:sz w:val="32"/>
          <w:szCs w:val="32"/>
        </w:rPr>
        <w:t>六、项目储备情况</w:t>
      </w:r>
    </w:p>
    <w:p w14:paraId="41F18D4B">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应包含项目简称、项目成立时间、项目领域、项目注册地、项目简介和亮点、项目创始团队情况、计划投资金额、投资轮次等信息。</w:t>
      </w:r>
    </w:p>
    <w:p w14:paraId="6AC64E49">
      <w:pPr>
        <w:spacing w:line="560" w:lineRule="exact"/>
        <w:ind w:firstLine="640" w:firstLineChars="200"/>
        <w:outlineLvl w:val="0"/>
        <w:rPr>
          <w:rFonts w:hint="eastAsia" w:ascii="黑体" w:hAnsi="黑体" w:eastAsia="黑体"/>
          <w:sz w:val="32"/>
          <w:szCs w:val="32"/>
        </w:rPr>
      </w:pPr>
      <w:r>
        <w:rPr>
          <w:rFonts w:hint="eastAsia" w:ascii="黑体" w:hAnsi="黑体" w:eastAsia="黑体"/>
          <w:sz w:val="32"/>
          <w:szCs w:val="32"/>
        </w:rPr>
        <w:t>七、对外合作情况</w:t>
      </w:r>
    </w:p>
    <w:p w14:paraId="6C79BEEB">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详细列明子基金管理机构与国内外知名高等院校、科研院所、重点实验室等技术源头单位或国际知名技术转移机构等科技成果转化机构以及国家/省/市级科技企业孵化器等协助科技成果转化单位的合作情况。</w:t>
      </w:r>
    </w:p>
    <w:p w14:paraId="159E36E8">
      <w:pPr>
        <w:spacing w:line="560" w:lineRule="exact"/>
        <w:outlineLvl w:val="0"/>
        <w:rPr>
          <w:rFonts w:hint="eastAsia" w:ascii="仿宋_GB2312" w:hAnsi="宋体" w:eastAsia="仿宋_GB2312"/>
          <w:b/>
          <w:bCs/>
          <w:sz w:val="32"/>
          <w:szCs w:val="32"/>
        </w:rPr>
      </w:pPr>
      <w:r>
        <w:rPr>
          <w:rFonts w:ascii="宋体" w:hAnsi="宋体"/>
          <w:sz w:val="28"/>
          <w:szCs w:val="28"/>
        </w:rPr>
        <w:br w:type="page"/>
      </w:r>
      <w:r>
        <w:rPr>
          <w:rFonts w:hint="eastAsia" w:ascii="仿宋_GB2312" w:hAnsi="宋体" w:eastAsia="仿宋_GB2312"/>
          <w:b/>
          <w:bCs/>
          <w:sz w:val="32"/>
          <w:szCs w:val="32"/>
        </w:rPr>
        <w:t>附件</w:t>
      </w:r>
      <w:r>
        <w:rPr>
          <w:rFonts w:ascii="仿宋_GB2312" w:hAnsi="宋体" w:eastAsia="仿宋_GB2312"/>
          <w:b/>
          <w:bCs/>
          <w:sz w:val="32"/>
          <w:szCs w:val="32"/>
        </w:rPr>
        <w:t>3</w:t>
      </w:r>
    </w:p>
    <w:p w14:paraId="71AD2DBB">
      <w:pPr>
        <w:spacing w:line="560" w:lineRule="exact"/>
        <w:outlineLvl w:val="0"/>
        <w:rPr>
          <w:rFonts w:hint="eastAsia" w:ascii="仿宋_GB2312" w:hAnsi="宋体" w:eastAsia="仿宋_GB2312"/>
          <w:sz w:val="32"/>
          <w:szCs w:val="32"/>
        </w:rPr>
      </w:pPr>
      <w:r>
        <w:rPr>
          <w:rFonts w:hint="eastAsia" w:ascii="仿宋_GB2312" w:hAnsi="宋体" w:eastAsia="仿宋_GB2312"/>
          <w:sz w:val="32"/>
          <w:szCs w:val="32"/>
        </w:rPr>
        <w:t>产业研究报告：</w:t>
      </w:r>
    </w:p>
    <w:p w14:paraId="1BC05BC4">
      <w:pPr>
        <w:spacing w:line="560" w:lineRule="exact"/>
        <w:ind w:firstLine="640" w:firstLineChars="200"/>
        <w:outlineLvl w:val="0"/>
        <w:rPr>
          <w:rFonts w:hint="eastAsia" w:ascii="仿宋_GB2312" w:hAnsi="宋体" w:eastAsia="仿宋_GB2312"/>
          <w:sz w:val="32"/>
          <w:szCs w:val="32"/>
        </w:rPr>
      </w:pPr>
      <w:r>
        <w:rPr>
          <w:rFonts w:hint="eastAsia" w:ascii="仿宋_GB2312" w:hAnsi="宋体" w:eastAsia="仿宋_GB2312"/>
          <w:sz w:val="32"/>
          <w:szCs w:val="32"/>
        </w:rPr>
        <w:t>子基金管理机构应当具备子基金重点投资领域的产业研究能力，提交申请时，须结合深圳市产业情况，提交子基金重点投资领域的产业研究报告，分析该领域国内技术短板、产业卡脖子问题以及深圳产业链相关情况，并对该产业前沿技术的发展方向和趋势进行研究分析。</w:t>
      </w:r>
    </w:p>
    <w:p w14:paraId="3D8D395B">
      <w:pPr>
        <w:spacing w:line="560" w:lineRule="exact"/>
        <w:outlineLvl w:val="0"/>
        <w:rPr>
          <w:rFonts w:hint="eastAsia" w:ascii="仿宋_GB2312" w:hAnsi="宋体" w:eastAsia="仿宋_GB2312"/>
          <w:b/>
          <w:bCs/>
          <w:sz w:val="32"/>
          <w:szCs w:val="32"/>
        </w:rPr>
      </w:pPr>
    </w:p>
    <w:p w14:paraId="6DDE3903">
      <w:pPr>
        <w:spacing w:line="560" w:lineRule="exact"/>
        <w:outlineLvl w:val="0"/>
        <w:rPr>
          <w:rFonts w:hint="eastAsia" w:ascii="仿宋_GB2312" w:hAnsi="宋体" w:eastAsia="仿宋_GB2312"/>
          <w:b/>
          <w:bCs/>
          <w:sz w:val="32"/>
          <w:szCs w:val="32"/>
        </w:rPr>
      </w:pPr>
    </w:p>
    <w:p w14:paraId="013E29F2">
      <w:pPr>
        <w:spacing w:line="560" w:lineRule="exact"/>
        <w:outlineLvl w:val="0"/>
        <w:rPr>
          <w:rFonts w:hint="eastAsia" w:ascii="仿宋_GB2312" w:hAnsi="宋体" w:eastAsia="仿宋_GB2312"/>
          <w:b/>
          <w:bCs/>
          <w:sz w:val="32"/>
          <w:szCs w:val="32"/>
        </w:rPr>
      </w:pPr>
    </w:p>
    <w:p w14:paraId="48DBD426">
      <w:pPr>
        <w:widowControl/>
        <w:jc w:val="left"/>
        <w:rPr>
          <w:rFonts w:hint="eastAsia" w:ascii="仿宋_GB2312" w:hAnsi="宋体" w:eastAsia="仿宋_GB2312"/>
          <w:b/>
          <w:bCs/>
          <w:sz w:val="32"/>
          <w:szCs w:val="32"/>
        </w:rPr>
      </w:pPr>
      <w:r>
        <w:rPr>
          <w:rFonts w:ascii="仿宋_GB2312" w:hAnsi="宋体" w:eastAsia="仿宋_GB2312"/>
          <w:b/>
          <w:bCs/>
          <w:sz w:val="32"/>
          <w:szCs w:val="32"/>
        </w:rPr>
        <w:br w:type="page"/>
      </w:r>
    </w:p>
    <w:p w14:paraId="3466883A">
      <w:pPr>
        <w:spacing w:line="560" w:lineRule="exact"/>
        <w:outlineLvl w:val="0"/>
        <w:rPr>
          <w:rFonts w:hint="eastAsia" w:ascii="仿宋_GB2312" w:hAnsi="宋体" w:eastAsia="仿宋_GB2312"/>
          <w:sz w:val="32"/>
          <w:szCs w:val="32"/>
        </w:rPr>
      </w:pPr>
      <w:r>
        <w:rPr>
          <w:rFonts w:hint="eastAsia" w:ascii="仿宋_GB2312" w:hAnsi="宋体" w:eastAsia="仿宋_GB2312"/>
          <w:b/>
          <w:bCs/>
          <w:sz w:val="32"/>
          <w:szCs w:val="32"/>
        </w:rPr>
        <w:t>附件</w:t>
      </w:r>
      <w:r>
        <w:rPr>
          <w:rFonts w:ascii="仿宋_GB2312" w:hAnsi="宋体" w:eastAsia="仿宋_GB2312"/>
          <w:b/>
          <w:bCs/>
          <w:sz w:val="32"/>
          <w:szCs w:val="32"/>
        </w:rPr>
        <w:t>4</w:t>
      </w:r>
    </w:p>
    <w:p w14:paraId="5C84F6E1">
      <w:pPr>
        <w:spacing w:line="560" w:lineRule="exact"/>
        <w:outlineLvl w:val="0"/>
        <w:rPr>
          <w:rFonts w:hint="eastAsia" w:ascii="仿宋_GB2312" w:hAnsi="宋体" w:eastAsia="仿宋_GB2312"/>
          <w:sz w:val="32"/>
          <w:szCs w:val="32"/>
        </w:rPr>
      </w:pPr>
      <w:r>
        <w:rPr>
          <w:rFonts w:hint="eastAsia" w:ascii="仿宋_GB2312" w:hAnsi="宋体" w:eastAsia="仿宋_GB2312"/>
          <w:sz w:val="32"/>
          <w:szCs w:val="32"/>
        </w:rPr>
        <w:t>境内申请机构须提供以下相关材料：</w:t>
      </w:r>
    </w:p>
    <w:p w14:paraId="73FFFF76">
      <w:pPr>
        <w:pStyle w:val="22"/>
        <w:numPr>
          <w:ilvl w:val="0"/>
          <w:numId w:val="3"/>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营业执照；</w:t>
      </w:r>
    </w:p>
    <w:p w14:paraId="3EF83705">
      <w:pPr>
        <w:pStyle w:val="22"/>
        <w:numPr>
          <w:ilvl w:val="0"/>
          <w:numId w:val="3"/>
        </w:numPr>
        <w:spacing w:line="560" w:lineRule="exact"/>
        <w:ind w:firstLineChars="0"/>
        <w:outlineLvl w:val="0"/>
        <w:rPr>
          <w:rFonts w:hint="eastAsia" w:ascii="仿宋_GB2312" w:hAnsi="宋体" w:eastAsia="仿宋_GB2312"/>
          <w:sz w:val="32"/>
          <w:szCs w:val="32"/>
        </w:rPr>
      </w:pPr>
      <w:r>
        <w:rPr>
          <w:rFonts w:hint="eastAsia" w:ascii="仿宋_GB2312" w:eastAsia="仿宋_GB2312"/>
          <w:sz w:val="32"/>
          <w:szCs w:val="32"/>
        </w:rPr>
        <w:t>实缴出资证明材料</w:t>
      </w:r>
      <w:r>
        <w:rPr>
          <w:rFonts w:hint="eastAsia" w:ascii="仿宋_GB2312" w:hAnsi="宋体" w:eastAsia="仿宋_GB2312"/>
          <w:sz w:val="32"/>
          <w:szCs w:val="32"/>
        </w:rPr>
        <w:t>；</w:t>
      </w:r>
    </w:p>
    <w:p w14:paraId="53639D0C">
      <w:pPr>
        <w:pStyle w:val="22"/>
        <w:numPr>
          <w:ilvl w:val="0"/>
          <w:numId w:val="3"/>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登记备案证明（未被中国证券投资基金业协会列为异常机构且不存在不良诚信记录等情形）；</w:t>
      </w:r>
    </w:p>
    <w:p w14:paraId="2F8CB438">
      <w:pPr>
        <w:pStyle w:val="22"/>
        <w:numPr>
          <w:ilvl w:val="0"/>
          <w:numId w:val="3"/>
        </w:numPr>
        <w:spacing w:line="560" w:lineRule="exact"/>
        <w:ind w:firstLineChars="0"/>
        <w:outlineLvl w:val="0"/>
        <w:rPr>
          <w:rFonts w:hint="eastAsia" w:ascii="仿宋_GB2312" w:hAnsi="宋体" w:eastAsia="仿宋_GB2312"/>
          <w:sz w:val="32"/>
          <w:szCs w:val="32"/>
        </w:rPr>
      </w:pPr>
      <w:r>
        <w:rPr>
          <w:rFonts w:hint="eastAsia" w:ascii="仿宋_GB2312" w:eastAsia="仿宋_GB2312"/>
          <w:sz w:val="32"/>
          <w:szCs w:val="32"/>
        </w:rPr>
        <w:t>最近三年不存在重大违法违规行为证明材料。</w:t>
      </w:r>
    </w:p>
    <w:p w14:paraId="43EAA089">
      <w:pPr>
        <w:spacing w:line="560" w:lineRule="exact"/>
        <w:outlineLvl w:val="0"/>
        <w:rPr>
          <w:rFonts w:hint="eastAsia" w:ascii="仿宋_GB2312" w:hAnsi="宋体" w:eastAsia="仿宋_GB2312"/>
          <w:sz w:val="32"/>
          <w:szCs w:val="32"/>
        </w:rPr>
      </w:pPr>
    </w:p>
    <w:p w14:paraId="1B1D7998">
      <w:pPr>
        <w:spacing w:line="560" w:lineRule="exact"/>
        <w:outlineLvl w:val="0"/>
        <w:rPr>
          <w:rFonts w:hint="eastAsia" w:ascii="仿宋_GB2312" w:hAnsi="宋体" w:eastAsia="仿宋_GB2312"/>
          <w:sz w:val="32"/>
          <w:szCs w:val="32"/>
        </w:rPr>
      </w:pPr>
    </w:p>
    <w:p w14:paraId="54CE7D2E">
      <w:pPr>
        <w:spacing w:line="560" w:lineRule="exact"/>
        <w:outlineLvl w:val="0"/>
        <w:rPr>
          <w:rFonts w:hint="eastAsia" w:ascii="仿宋_GB2312" w:hAnsi="宋体" w:eastAsia="仿宋_GB2312"/>
          <w:sz w:val="32"/>
          <w:szCs w:val="32"/>
        </w:rPr>
      </w:pPr>
      <w:r>
        <w:rPr>
          <w:rFonts w:hint="eastAsia" w:ascii="仿宋_GB2312" w:hAnsi="宋体" w:eastAsia="仿宋_GB2312"/>
          <w:sz w:val="32"/>
          <w:szCs w:val="32"/>
        </w:rPr>
        <w:t>境外申请机构须提供以下相关材料：</w:t>
      </w:r>
    </w:p>
    <w:p w14:paraId="10A53A0F">
      <w:pPr>
        <w:pStyle w:val="22"/>
        <w:numPr>
          <w:ilvl w:val="0"/>
          <w:numId w:val="4"/>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经所在国家或地区监管机构批准从事股权投资管理业务，具备当地监管机构颁发的许可证件；</w:t>
      </w:r>
    </w:p>
    <w:p w14:paraId="2DB11DF4">
      <w:pPr>
        <w:pStyle w:val="22"/>
        <w:numPr>
          <w:ilvl w:val="0"/>
          <w:numId w:val="4"/>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净资产不低于200万美元或等值货币的证明材料；</w:t>
      </w:r>
    </w:p>
    <w:p w14:paraId="7ED6DE92">
      <w:pPr>
        <w:pStyle w:val="22"/>
        <w:numPr>
          <w:ilvl w:val="0"/>
          <w:numId w:val="4"/>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持续经营管理境外投资基金3年以上且有良好投资业绩的证明材料；</w:t>
      </w:r>
    </w:p>
    <w:p w14:paraId="14258B71">
      <w:pPr>
        <w:pStyle w:val="22"/>
        <w:numPr>
          <w:ilvl w:val="0"/>
          <w:numId w:val="4"/>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内部治理架构：管理和投资运作规范，具有完善的风险控制流程及健全的内部财务管理制度；</w:t>
      </w:r>
    </w:p>
    <w:p w14:paraId="7F632006">
      <w:pPr>
        <w:pStyle w:val="22"/>
        <w:numPr>
          <w:ilvl w:val="0"/>
          <w:numId w:val="4"/>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最近三年未受所在国家或地区监管机构的重大处罚，无重大事项正在接受司法部门、监管机构的立案调查的证明材料；</w:t>
      </w:r>
    </w:p>
    <w:p w14:paraId="18D08C4E">
      <w:pPr>
        <w:pStyle w:val="22"/>
        <w:numPr>
          <w:ilvl w:val="0"/>
          <w:numId w:val="4"/>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投资人员境内或境外基金投资经验和资质证明。</w:t>
      </w:r>
    </w:p>
    <w:p w14:paraId="13A34536">
      <w:pPr>
        <w:spacing w:line="560" w:lineRule="exact"/>
        <w:outlineLvl w:val="0"/>
        <w:rPr>
          <w:rFonts w:hint="eastAsia" w:ascii="仿宋_GB2312" w:hAnsi="宋体" w:eastAsia="仿宋_GB2312"/>
          <w:sz w:val="32"/>
          <w:szCs w:val="32"/>
        </w:rPr>
      </w:pPr>
    </w:p>
    <w:p w14:paraId="79A2D6EB">
      <w:pPr>
        <w:spacing w:line="560" w:lineRule="exact"/>
        <w:outlineLvl w:val="0"/>
        <w:rPr>
          <w:rFonts w:hint="eastAsia" w:ascii="仿宋_GB2312" w:hAnsi="宋体" w:eastAsia="仿宋_GB2312"/>
          <w:sz w:val="32"/>
          <w:szCs w:val="32"/>
        </w:rPr>
      </w:pPr>
    </w:p>
    <w:p w14:paraId="771BFF50">
      <w:pPr>
        <w:spacing w:line="560" w:lineRule="exact"/>
        <w:outlineLvl w:val="0"/>
        <w:rPr>
          <w:rFonts w:hint="eastAsia" w:ascii="仿宋_GB2312" w:hAnsi="宋体" w:eastAsia="仿宋_GB2312"/>
          <w:sz w:val="32"/>
          <w:szCs w:val="32"/>
        </w:rPr>
      </w:pPr>
    </w:p>
    <w:p w14:paraId="081E8957">
      <w:pPr>
        <w:widowControl/>
        <w:jc w:val="left"/>
        <w:rPr>
          <w:rFonts w:hint="eastAsia" w:ascii="仿宋_GB2312" w:hAnsi="宋体" w:eastAsia="仿宋_GB2312"/>
          <w:b/>
          <w:bCs/>
          <w:sz w:val="32"/>
          <w:szCs w:val="32"/>
        </w:rPr>
      </w:pPr>
      <w:r>
        <w:rPr>
          <w:rFonts w:ascii="仿宋_GB2312" w:hAnsi="宋体" w:eastAsia="仿宋_GB2312"/>
          <w:b/>
          <w:bCs/>
          <w:sz w:val="32"/>
          <w:szCs w:val="32"/>
        </w:rPr>
        <w:br w:type="page"/>
      </w:r>
    </w:p>
    <w:p w14:paraId="16878A07">
      <w:pPr>
        <w:spacing w:line="560" w:lineRule="exact"/>
        <w:outlineLvl w:val="0"/>
        <w:rPr>
          <w:rFonts w:hint="eastAsia" w:ascii="仿宋_GB2312" w:hAnsi="宋体" w:eastAsia="仿宋_GB2312"/>
          <w:sz w:val="32"/>
          <w:szCs w:val="32"/>
        </w:rPr>
      </w:pPr>
      <w:r>
        <w:rPr>
          <w:rFonts w:hint="eastAsia" w:ascii="仿宋_GB2312" w:hAnsi="宋体" w:eastAsia="仿宋_GB2312"/>
          <w:b/>
          <w:bCs/>
          <w:sz w:val="32"/>
          <w:szCs w:val="32"/>
        </w:rPr>
        <w:t>附件5</w:t>
      </w:r>
    </w:p>
    <w:p w14:paraId="68C6E397">
      <w:pPr>
        <w:spacing w:line="560" w:lineRule="exact"/>
        <w:outlineLvl w:val="0"/>
        <w:rPr>
          <w:rFonts w:hint="eastAsia" w:ascii="仿宋_GB2312" w:hAnsi="宋体" w:eastAsia="仿宋_GB2312"/>
          <w:sz w:val="32"/>
          <w:szCs w:val="32"/>
        </w:rPr>
      </w:pPr>
      <w:r>
        <w:rPr>
          <w:rFonts w:hint="eastAsia" w:ascii="仿宋_GB2312" w:hAnsi="宋体" w:eastAsia="仿宋_GB2312"/>
          <w:sz w:val="32"/>
          <w:szCs w:val="32"/>
        </w:rPr>
        <w:t>管理机构须提供以下相关材料：</w:t>
      </w:r>
    </w:p>
    <w:p w14:paraId="311608C6">
      <w:pPr>
        <w:pStyle w:val="22"/>
        <w:numPr>
          <w:ilvl w:val="0"/>
          <w:numId w:val="5"/>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营业执照；</w:t>
      </w:r>
    </w:p>
    <w:p w14:paraId="355B6381">
      <w:pPr>
        <w:pStyle w:val="22"/>
        <w:numPr>
          <w:ilvl w:val="0"/>
          <w:numId w:val="5"/>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公司章程或合伙协议；</w:t>
      </w:r>
    </w:p>
    <w:p w14:paraId="0E0521F6">
      <w:pPr>
        <w:pStyle w:val="22"/>
        <w:numPr>
          <w:ilvl w:val="0"/>
          <w:numId w:val="5"/>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登记备案证明（未被中国证券投资基金业协会列为异常机构且不存在不良诚信记录等情形）；</w:t>
      </w:r>
    </w:p>
    <w:p w14:paraId="75F48287">
      <w:pPr>
        <w:pStyle w:val="22"/>
        <w:numPr>
          <w:ilvl w:val="0"/>
          <w:numId w:val="5"/>
        </w:numPr>
        <w:spacing w:line="560" w:lineRule="exact"/>
        <w:ind w:firstLineChars="0"/>
        <w:outlineLvl w:val="0"/>
        <w:rPr>
          <w:rFonts w:hint="eastAsia" w:ascii="仿宋_GB2312" w:hAnsi="宋体" w:eastAsia="仿宋_GB2312"/>
          <w:sz w:val="32"/>
          <w:szCs w:val="32"/>
        </w:rPr>
      </w:pPr>
      <w:r>
        <w:rPr>
          <w:rFonts w:hint="eastAsia" w:ascii="仿宋_GB2312" w:eastAsia="仿宋_GB2312"/>
          <w:sz w:val="32"/>
          <w:szCs w:val="32"/>
        </w:rPr>
        <w:t>实缴出资证明材料；</w:t>
      </w:r>
    </w:p>
    <w:p w14:paraId="40405CAB">
      <w:pPr>
        <w:pStyle w:val="22"/>
        <w:numPr>
          <w:ilvl w:val="0"/>
          <w:numId w:val="3"/>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法定代表人或执行事务合伙人（或其委派代表）身份证明、无犯罪记录证明；</w:t>
      </w:r>
    </w:p>
    <w:p w14:paraId="002FEE0E">
      <w:pPr>
        <w:pStyle w:val="22"/>
        <w:numPr>
          <w:ilvl w:val="0"/>
          <w:numId w:val="3"/>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基金关键人及高级管理人员身份证明、无犯罪记录证明；</w:t>
      </w:r>
    </w:p>
    <w:p w14:paraId="49CC5212">
      <w:pPr>
        <w:pStyle w:val="22"/>
        <w:numPr>
          <w:ilvl w:val="0"/>
          <w:numId w:val="3"/>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投资人员境内或境外基金投资经验和资质证明；</w:t>
      </w:r>
    </w:p>
    <w:p w14:paraId="3E756537">
      <w:pPr>
        <w:pStyle w:val="22"/>
        <w:numPr>
          <w:ilvl w:val="0"/>
          <w:numId w:val="3"/>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管理机构和在管基金最近三个会计年度经审计的财务报告或财务报表；</w:t>
      </w:r>
    </w:p>
    <w:p w14:paraId="38B8CDB1">
      <w:pPr>
        <w:pStyle w:val="22"/>
        <w:numPr>
          <w:ilvl w:val="0"/>
          <w:numId w:val="3"/>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管理机构最近3年受托管理的基金总额或者管理团队主要成员参与管理的已实缴投资的项目资金总额和成功投资的案例的证明材料；</w:t>
      </w:r>
    </w:p>
    <w:p w14:paraId="24B7C98F">
      <w:pPr>
        <w:spacing w:line="560" w:lineRule="exact"/>
        <w:outlineLvl w:val="0"/>
        <w:rPr>
          <w:rFonts w:hint="eastAsia" w:ascii="仿宋_GB2312" w:hAnsi="宋体" w:eastAsia="仿宋_GB2312"/>
          <w:sz w:val="32"/>
          <w:szCs w:val="32"/>
        </w:rPr>
      </w:pPr>
      <w:r>
        <w:rPr>
          <w:rFonts w:hint="eastAsia" w:ascii="仿宋_GB2312" w:hAnsi="宋体" w:eastAsia="仿宋_GB2312"/>
          <w:sz w:val="32"/>
          <w:szCs w:val="32"/>
        </w:rPr>
        <w:t>10.内部治理架构：管理和投资运作规范，具有完善的风险控制流程及健全的内部财务管理制度；围绕种子孵化目标建立相匹配的项目遴选、立项和投决机制，包括广泛邀请相关领域的学术界和产业界的专家为项目立项或者投资决策提供建议。子基金管理机构应当在申请资料中提供相关的制度说明；</w:t>
      </w:r>
    </w:p>
    <w:p w14:paraId="39BC26A7">
      <w:pPr>
        <w:spacing w:line="560" w:lineRule="exact"/>
        <w:outlineLvl w:val="0"/>
        <w:rPr>
          <w:rFonts w:hint="eastAsia" w:ascii="仿宋_GB2312" w:hAnsi="宋体" w:eastAsia="仿宋_GB2312"/>
          <w:sz w:val="32"/>
          <w:szCs w:val="32"/>
        </w:rPr>
      </w:pPr>
      <w:bookmarkStart w:id="9" w:name="_Hlk31979228"/>
      <w:bookmarkStart w:id="10" w:name="_Hlk31977843"/>
      <w:r>
        <w:rPr>
          <w:rFonts w:hint="eastAsia" w:ascii="仿宋_GB2312" w:hAnsi="宋体" w:eastAsia="仿宋_GB2312"/>
          <w:sz w:val="32"/>
          <w:szCs w:val="32"/>
        </w:rPr>
        <w:t>11.子基金管理机构新设方案说明函（子基金管理机构已设立情况除外），说明函内容应包括但不限于子基金管理机构设立背景、公司名称、注册地、经营范围、注册资本、实缴资本、股东结构及实际控制人（</w:t>
      </w:r>
      <w:r>
        <w:rPr>
          <w:rFonts w:ascii="仿宋_GB2312" w:hAnsi="宋体" w:eastAsia="仿宋_GB2312"/>
          <w:sz w:val="32"/>
          <w:szCs w:val="32"/>
        </w:rPr>
        <w:t>图表配合文字详细说明</w:t>
      </w:r>
      <w:r>
        <w:rPr>
          <w:rFonts w:hint="eastAsia" w:ascii="仿宋_GB2312" w:hAnsi="宋体" w:eastAsia="仿宋_GB2312"/>
          <w:sz w:val="32"/>
          <w:szCs w:val="32"/>
        </w:rPr>
        <w:t>）、股东介绍、管理团队介绍（</w:t>
      </w:r>
      <w:bookmarkStart w:id="11" w:name="_Hlk31978334"/>
      <w:r>
        <w:rPr>
          <w:rFonts w:ascii="仿宋_GB2312" w:hAnsi="宋体" w:eastAsia="仿宋_GB2312"/>
          <w:sz w:val="32"/>
          <w:szCs w:val="32"/>
        </w:rPr>
        <w:t>图表配合文字详细说明</w:t>
      </w:r>
      <w:bookmarkEnd w:id="11"/>
      <w:r>
        <w:rPr>
          <w:rFonts w:ascii="仿宋_GB2312" w:hAnsi="宋体" w:eastAsia="仿宋_GB2312"/>
          <w:sz w:val="32"/>
          <w:szCs w:val="32"/>
        </w:rPr>
        <w:t>，</w:t>
      </w:r>
      <w:r>
        <w:rPr>
          <w:rFonts w:hint="eastAsia" w:ascii="仿宋_GB2312" w:hAnsi="宋体" w:eastAsia="仿宋_GB2312"/>
          <w:sz w:val="32"/>
          <w:szCs w:val="32"/>
        </w:rPr>
        <w:t>内容包括但不限于</w:t>
      </w:r>
      <w:r>
        <w:rPr>
          <w:rFonts w:ascii="仿宋_GB2312" w:hAnsi="宋体" w:eastAsia="仿宋_GB2312"/>
          <w:sz w:val="32"/>
          <w:szCs w:val="32"/>
        </w:rPr>
        <w:t>计划在深圳</w:t>
      </w:r>
      <w:r>
        <w:rPr>
          <w:rFonts w:hint="eastAsia" w:ascii="仿宋_GB2312" w:hAnsi="宋体" w:eastAsia="仿宋_GB2312"/>
          <w:sz w:val="32"/>
          <w:szCs w:val="32"/>
        </w:rPr>
        <w:t>配置</w:t>
      </w:r>
      <w:r>
        <w:rPr>
          <w:rFonts w:ascii="仿宋_GB2312" w:hAnsi="宋体" w:eastAsia="仿宋_GB2312"/>
          <w:sz w:val="32"/>
          <w:szCs w:val="32"/>
        </w:rPr>
        <w:t>不少于X人的团队</w:t>
      </w:r>
      <w:r>
        <w:rPr>
          <w:rFonts w:hint="eastAsia" w:ascii="仿宋_GB2312" w:hAnsi="宋体" w:eastAsia="仿宋_GB2312"/>
          <w:sz w:val="32"/>
          <w:szCs w:val="32"/>
        </w:rPr>
        <w:t>，其中已确定人员</w:t>
      </w:r>
      <w:r>
        <w:rPr>
          <w:rFonts w:ascii="仿宋_GB2312" w:hAnsi="宋体" w:eastAsia="仿宋_GB2312"/>
          <w:sz w:val="32"/>
          <w:szCs w:val="32"/>
        </w:rPr>
        <w:t>X名，计划招聘人员X名等内容。全体</w:t>
      </w:r>
      <w:r>
        <w:rPr>
          <w:rFonts w:hint="eastAsia" w:ascii="仿宋_GB2312" w:hAnsi="宋体" w:eastAsia="仿宋_GB2312"/>
          <w:sz w:val="32"/>
          <w:szCs w:val="32"/>
        </w:rPr>
        <w:t>团队</w:t>
      </w:r>
      <w:r>
        <w:rPr>
          <w:rFonts w:ascii="仿宋_GB2312" w:hAnsi="宋体" w:eastAsia="仿宋_GB2312"/>
          <w:sz w:val="32"/>
          <w:szCs w:val="32"/>
        </w:rPr>
        <w:t>成员列表应包括</w:t>
      </w:r>
      <w:r>
        <w:rPr>
          <w:rFonts w:hint="eastAsia" w:ascii="仿宋_GB2312" w:hAnsi="宋体" w:eastAsia="仿宋_GB2312"/>
          <w:sz w:val="32"/>
          <w:szCs w:val="32"/>
        </w:rPr>
        <w:t>但不限于</w:t>
      </w:r>
      <w:r>
        <w:rPr>
          <w:rFonts w:ascii="仿宋_GB2312" w:hAnsi="宋体" w:eastAsia="仿宋_GB2312"/>
          <w:sz w:val="32"/>
          <w:szCs w:val="32"/>
        </w:rPr>
        <w:t>姓名、职务、年龄、</w:t>
      </w:r>
      <w:r>
        <w:rPr>
          <w:rFonts w:hint="eastAsia" w:ascii="仿宋_GB2312" w:hAnsi="宋体" w:eastAsia="仿宋_GB2312"/>
          <w:sz w:val="32"/>
          <w:szCs w:val="32"/>
        </w:rPr>
        <w:t>教育背景</w:t>
      </w:r>
      <w:r>
        <w:rPr>
          <w:rFonts w:ascii="仿宋_GB2312" w:hAnsi="宋体" w:eastAsia="仿宋_GB2312"/>
          <w:sz w:val="32"/>
          <w:szCs w:val="32"/>
        </w:rPr>
        <w:t>、</w:t>
      </w:r>
      <w:r>
        <w:rPr>
          <w:rFonts w:hint="eastAsia" w:ascii="仿宋_GB2312" w:hAnsi="宋体" w:eastAsia="仿宋_GB2312"/>
          <w:sz w:val="32"/>
          <w:szCs w:val="32"/>
        </w:rPr>
        <w:t>职业经历、</w:t>
      </w:r>
      <w:r>
        <w:rPr>
          <w:rFonts w:ascii="仿宋_GB2312" w:hAnsi="宋体" w:eastAsia="仿宋_GB2312"/>
          <w:sz w:val="32"/>
          <w:szCs w:val="32"/>
        </w:rPr>
        <w:t>加入团队时间、</w:t>
      </w:r>
      <w:r>
        <w:rPr>
          <w:rFonts w:hint="eastAsia" w:ascii="仿宋_GB2312" w:hAnsi="宋体" w:eastAsia="仿宋_GB2312"/>
          <w:sz w:val="32"/>
          <w:szCs w:val="32"/>
        </w:rPr>
        <w:t>职责</w:t>
      </w:r>
      <w:r>
        <w:rPr>
          <w:rFonts w:ascii="仿宋_GB2312" w:hAnsi="宋体" w:eastAsia="仿宋_GB2312"/>
          <w:sz w:val="32"/>
          <w:szCs w:val="32"/>
        </w:rPr>
        <w:t>分工情况、共同合作经历</w:t>
      </w:r>
      <w:r>
        <w:rPr>
          <w:rFonts w:hint="eastAsia" w:ascii="仿宋_GB2312" w:hAnsi="宋体" w:eastAsia="仿宋_GB2312"/>
          <w:sz w:val="32"/>
          <w:szCs w:val="32"/>
        </w:rPr>
        <w:t>、</w:t>
      </w:r>
      <w:r>
        <w:rPr>
          <w:rFonts w:ascii="仿宋_GB2312" w:hAnsi="宋体" w:eastAsia="仿宋_GB2312"/>
          <w:sz w:val="32"/>
          <w:szCs w:val="32"/>
        </w:rPr>
        <w:t>常驻深圳办公或在深圳缴纳社保</w:t>
      </w:r>
      <w:r>
        <w:rPr>
          <w:rFonts w:hint="eastAsia" w:ascii="仿宋_GB2312" w:hAnsi="宋体" w:eastAsia="仿宋_GB2312"/>
          <w:sz w:val="32"/>
          <w:szCs w:val="32"/>
        </w:rPr>
        <w:t>情况、所获荣誉、代表案例</w:t>
      </w:r>
      <w:r>
        <w:rPr>
          <w:rFonts w:ascii="仿宋_GB2312" w:hAnsi="宋体" w:eastAsia="仿宋_GB2312"/>
          <w:sz w:val="32"/>
          <w:szCs w:val="32"/>
        </w:rPr>
        <w:t>等)</w:t>
      </w:r>
      <w:r>
        <w:rPr>
          <w:rFonts w:hint="eastAsia" w:ascii="仿宋_GB2312" w:hAnsi="宋体" w:eastAsia="仿宋_GB2312"/>
          <w:sz w:val="32"/>
          <w:szCs w:val="32"/>
        </w:rPr>
        <w:t>等内容；</w:t>
      </w:r>
    </w:p>
    <w:p w14:paraId="022394E3">
      <w:pPr>
        <w:spacing w:line="560" w:lineRule="exact"/>
        <w:outlineLvl w:val="0"/>
        <w:rPr>
          <w:rFonts w:hint="eastAsia" w:ascii="仿宋_GB2312" w:hAnsi="宋体" w:eastAsia="仿宋_GB2312"/>
          <w:sz w:val="32"/>
          <w:szCs w:val="32"/>
        </w:rPr>
      </w:pPr>
      <w:r>
        <w:rPr>
          <w:rFonts w:hint="eastAsia" w:ascii="仿宋_GB2312" w:hAnsi="宋体" w:eastAsia="仿宋_GB2312"/>
          <w:sz w:val="32"/>
          <w:szCs w:val="32"/>
        </w:rPr>
        <w:t>12.子基金管理机构应当提供曾经帮助过已投项目成功对外融资、市场推广或客户对接的说明材料；</w:t>
      </w:r>
    </w:p>
    <w:p w14:paraId="2A136F21">
      <w:pPr>
        <w:spacing w:line="560" w:lineRule="exact"/>
        <w:outlineLvl w:val="0"/>
        <w:rPr>
          <w:rFonts w:hint="eastAsia" w:ascii="仿宋_GB2312" w:hAnsi="宋体" w:eastAsia="仿宋_GB2312"/>
          <w:sz w:val="32"/>
          <w:szCs w:val="32"/>
        </w:rPr>
      </w:pPr>
      <w:r>
        <w:rPr>
          <w:rFonts w:hint="eastAsia" w:ascii="仿宋_GB2312" w:hAnsi="宋体" w:eastAsia="仿宋_GB2312"/>
          <w:sz w:val="32"/>
          <w:szCs w:val="32"/>
        </w:rPr>
        <w:t>13.子基金管理机构与国内外知名高等院校、科研院所、重点实验室等技术源头单位或国际知名技术转移机构等科技成果转化机构以及国家/省/市级科技企业孵化器等协助科技成果转化单位的合作协议或相关合作证明材料。</w:t>
      </w:r>
    </w:p>
    <w:p w14:paraId="469B1457">
      <w:pPr>
        <w:widowControl/>
        <w:jc w:val="left"/>
        <w:rPr>
          <w:rFonts w:hint="eastAsia" w:ascii="仿宋_GB2312" w:hAnsi="宋体" w:eastAsia="仿宋_GB2312"/>
          <w:sz w:val="32"/>
          <w:szCs w:val="32"/>
        </w:rPr>
      </w:pPr>
      <w:r>
        <w:rPr>
          <w:rFonts w:ascii="仿宋_GB2312" w:hAnsi="宋体" w:eastAsia="仿宋_GB2312"/>
          <w:sz w:val="32"/>
          <w:szCs w:val="32"/>
        </w:rPr>
        <w:br w:type="page"/>
      </w:r>
    </w:p>
    <w:bookmarkEnd w:id="9"/>
    <w:p w14:paraId="466825CC">
      <w:pPr>
        <w:spacing w:line="560" w:lineRule="exact"/>
        <w:outlineLvl w:val="0"/>
        <w:rPr>
          <w:rFonts w:hint="eastAsia" w:ascii="仿宋_GB2312" w:hAnsi="宋体" w:eastAsia="仿宋_GB2312"/>
          <w:b/>
          <w:bCs/>
          <w:sz w:val="32"/>
          <w:szCs w:val="32"/>
        </w:rPr>
      </w:pPr>
      <w:r>
        <w:rPr>
          <w:rFonts w:hint="eastAsia" w:ascii="仿宋_GB2312" w:hAnsi="宋体" w:eastAsia="仿宋_GB2312"/>
          <w:b/>
          <w:bCs/>
          <w:sz w:val="32"/>
          <w:szCs w:val="32"/>
        </w:rPr>
        <w:t>附件6</w:t>
      </w:r>
    </w:p>
    <w:bookmarkEnd w:id="10"/>
    <w:p w14:paraId="247ED4EF">
      <w:pPr>
        <w:spacing w:line="560" w:lineRule="exact"/>
        <w:outlineLvl w:val="0"/>
        <w:rPr>
          <w:rFonts w:hint="eastAsia" w:ascii="仿宋_GB2312" w:hAnsi="宋体" w:eastAsia="仿宋_GB2312"/>
          <w:sz w:val="32"/>
          <w:szCs w:val="32"/>
        </w:rPr>
      </w:pPr>
      <w:r>
        <w:rPr>
          <w:rFonts w:hint="eastAsia" w:ascii="仿宋_GB2312" w:hAnsi="宋体" w:eastAsia="仿宋_GB2312"/>
          <w:sz w:val="32"/>
          <w:szCs w:val="32"/>
        </w:rPr>
        <w:t>出资承诺函：</w:t>
      </w:r>
    </w:p>
    <w:p w14:paraId="30BB95CA">
      <w:pPr>
        <w:pStyle w:val="22"/>
        <w:numPr>
          <w:ilvl w:val="0"/>
          <w:numId w:val="6"/>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管理机构或其关联方出资承诺函、出资能力文件等材料；</w:t>
      </w:r>
    </w:p>
    <w:p w14:paraId="276E2C5E">
      <w:pPr>
        <w:pStyle w:val="22"/>
        <w:numPr>
          <w:ilvl w:val="0"/>
          <w:numId w:val="6"/>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社会出资人出资承诺函、出资能力文件等材料。</w:t>
      </w:r>
    </w:p>
    <w:p w14:paraId="48A8DEA6">
      <w:pPr>
        <w:spacing w:line="560" w:lineRule="exact"/>
        <w:outlineLvl w:val="0"/>
        <w:rPr>
          <w:rFonts w:hint="eastAsia" w:ascii="仿宋_GB2312" w:hAnsi="宋体" w:eastAsia="仿宋_GB2312"/>
          <w:sz w:val="32"/>
          <w:szCs w:val="32"/>
        </w:rPr>
      </w:pPr>
    </w:p>
    <w:p w14:paraId="1172719B">
      <w:pPr>
        <w:spacing w:line="560" w:lineRule="exact"/>
        <w:outlineLvl w:val="0"/>
        <w:rPr>
          <w:rFonts w:hint="eastAsia" w:ascii="仿宋_GB2312" w:hAnsi="宋体" w:eastAsia="仿宋_GB2312"/>
          <w:sz w:val="32"/>
          <w:szCs w:val="32"/>
        </w:rPr>
      </w:pPr>
    </w:p>
    <w:p w14:paraId="6E7CFEFA">
      <w:pPr>
        <w:spacing w:line="560" w:lineRule="exact"/>
        <w:outlineLvl w:val="0"/>
        <w:rPr>
          <w:rFonts w:hint="eastAsia" w:ascii="仿宋_GB2312" w:hAnsi="宋体" w:eastAsia="仿宋_GB2312"/>
          <w:sz w:val="32"/>
          <w:szCs w:val="32"/>
        </w:rPr>
      </w:pPr>
    </w:p>
    <w:p w14:paraId="4C4EBB73">
      <w:pPr>
        <w:spacing w:line="560" w:lineRule="exact"/>
        <w:outlineLvl w:val="0"/>
        <w:rPr>
          <w:rFonts w:hint="eastAsia" w:ascii="仿宋_GB2312" w:hAnsi="宋体" w:eastAsia="仿宋_GB2312"/>
          <w:sz w:val="32"/>
          <w:szCs w:val="32"/>
        </w:rPr>
      </w:pPr>
    </w:p>
    <w:p w14:paraId="037A03B9">
      <w:pPr>
        <w:spacing w:line="560" w:lineRule="exact"/>
        <w:outlineLvl w:val="0"/>
        <w:rPr>
          <w:rFonts w:hint="eastAsia" w:ascii="仿宋_GB2312" w:hAnsi="宋体" w:eastAsia="仿宋_GB2312"/>
          <w:sz w:val="32"/>
          <w:szCs w:val="32"/>
        </w:rPr>
      </w:pPr>
    </w:p>
    <w:p w14:paraId="7AED749E">
      <w:pPr>
        <w:spacing w:line="560" w:lineRule="exact"/>
        <w:outlineLvl w:val="0"/>
        <w:rPr>
          <w:rFonts w:hint="eastAsia" w:ascii="仿宋_GB2312" w:hAnsi="宋体" w:eastAsia="仿宋_GB2312"/>
          <w:sz w:val="32"/>
          <w:szCs w:val="32"/>
        </w:rPr>
      </w:pPr>
    </w:p>
    <w:p w14:paraId="029FDC3F">
      <w:pPr>
        <w:spacing w:line="560" w:lineRule="exact"/>
        <w:outlineLvl w:val="0"/>
        <w:rPr>
          <w:rFonts w:hint="eastAsia" w:ascii="仿宋_GB2312" w:hAnsi="宋体" w:eastAsia="仿宋_GB2312"/>
          <w:sz w:val="32"/>
          <w:szCs w:val="32"/>
        </w:rPr>
      </w:pPr>
    </w:p>
    <w:p w14:paraId="49D10054">
      <w:pPr>
        <w:spacing w:line="560" w:lineRule="exact"/>
        <w:outlineLvl w:val="0"/>
        <w:rPr>
          <w:rFonts w:hint="eastAsia" w:ascii="仿宋_GB2312" w:hAnsi="宋体" w:eastAsia="仿宋_GB2312"/>
          <w:sz w:val="32"/>
          <w:szCs w:val="32"/>
        </w:rPr>
      </w:pPr>
    </w:p>
    <w:p w14:paraId="72066D22">
      <w:pPr>
        <w:spacing w:line="560" w:lineRule="exact"/>
        <w:outlineLvl w:val="0"/>
        <w:rPr>
          <w:rFonts w:hint="eastAsia" w:ascii="仿宋_GB2312" w:hAnsi="宋体" w:eastAsia="仿宋_GB2312"/>
          <w:sz w:val="32"/>
          <w:szCs w:val="32"/>
        </w:rPr>
      </w:pPr>
    </w:p>
    <w:p w14:paraId="7B95A14B">
      <w:pPr>
        <w:spacing w:line="560" w:lineRule="exact"/>
        <w:outlineLvl w:val="0"/>
        <w:rPr>
          <w:rFonts w:hint="eastAsia" w:ascii="仿宋_GB2312" w:hAnsi="宋体" w:eastAsia="仿宋_GB2312"/>
          <w:sz w:val="32"/>
          <w:szCs w:val="32"/>
        </w:rPr>
      </w:pPr>
    </w:p>
    <w:p w14:paraId="3659A279">
      <w:pPr>
        <w:spacing w:line="560" w:lineRule="exact"/>
        <w:outlineLvl w:val="0"/>
        <w:rPr>
          <w:rFonts w:hint="eastAsia" w:ascii="仿宋_GB2312" w:hAnsi="宋体" w:eastAsia="仿宋_GB2312"/>
          <w:sz w:val="32"/>
          <w:szCs w:val="32"/>
        </w:rPr>
      </w:pPr>
    </w:p>
    <w:p w14:paraId="27BAC8E9">
      <w:pPr>
        <w:spacing w:line="560" w:lineRule="exact"/>
        <w:outlineLvl w:val="0"/>
        <w:rPr>
          <w:rFonts w:hint="eastAsia" w:ascii="仿宋_GB2312" w:hAnsi="宋体" w:eastAsia="仿宋_GB2312"/>
          <w:sz w:val="32"/>
          <w:szCs w:val="32"/>
        </w:rPr>
      </w:pPr>
    </w:p>
    <w:p w14:paraId="43BA5B06">
      <w:pPr>
        <w:spacing w:line="560" w:lineRule="exact"/>
        <w:outlineLvl w:val="0"/>
        <w:rPr>
          <w:rFonts w:hint="eastAsia" w:ascii="仿宋_GB2312" w:hAnsi="宋体" w:eastAsia="仿宋_GB2312"/>
          <w:sz w:val="32"/>
          <w:szCs w:val="32"/>
        </w:rPr>
      </w:pPr>
    </w:p>
    <w:p w14:paraId="5F42E0DA">
      <w:pPr>
        <w:spacing w:line="560" w:lineRule="exact"/>
        <w:outlineLvl w:val="0"/>
        <w:rPr>
          <w:rFonts w:hint="eastAsia" w:ascii="仿宋_GB2312" w:hAnsi="宋体" w:eastAsia="仿宋_GB2312"/>
          <w:sz w:val="32"/>
          <w:szCs w:val="32"/>
        </w:rPr>
      </w:pPr>
    </w:p>
    <w:p w14:paraId="23B8E5B6">
      <w:pPr>
        <w:spacing w:line="560" w:lineRule="exact"/>
        <w:outlineLvl w:val="0"/>
        <w:rPr>
          <w:rFonts w:hint="eastAsia" w:ascii="仿宋_GB2312" w:hAnsi="宋体" w:eastAsia="仿宋_GB2312"/>
          <w:sz w:val="32"/>
          <w:szCs w:val="32"/>
        </w:rPr>
      </w:pPr>
    </w:p>
    <w:p w14:paraId="07513AC8">
      <w:pPr>
        <w:spacing w:line="560" w:lineRule="exact"/>
        <w:outlineLvl w:val="0"/>
        <w:rPr>
          <w:rFonts w:hint="eastAsia" w:ascii="仿宋_GB2312" w:hAnsi="宋体" w:eastAsia="仿宋_GB2312"/>
          <w:sz w:val="32"/>
          <w:szCs w:val="32"/>
        </w:rPr>
      </w:pPr>
    </w:p>
    <w:p w14:paraId="5248BEF5">
      <w:pPr>
        <w:spacing w:line="560" w:lineRule="exact"/>
        <w:outlineLvl w:val="0"/>
        <w:rPr>
          <w:rFonts w:hint="eastAsia" w:ascii="仿宋_GB2312" w:hAnsi="宋体" w:eastAsia="仿宋_GB2312"/>
          <w:sz w:val="32"/>
          <w:szCs w:val="32"/>
        </w:rPr>
      </w:pPr>
    </w:p>
    <w:p w14:paraId="4BD28E9A">
      <w:pPr>
        <w:spacing w:line="560" w:lineRule="exact"/>
        <w:outlineLvl w:val="0"/>
        <w:rPr>
          <w:rFonts w:hint="eastAsia" w:ascii="仿宋_GB2312" w:hAnsi="宋体" w:eastAsia="仿宋_GB2312"/>
          <w:sz w:val="32"/>
          <w:szCs w:val="32"/>
        </w:rPr>
      </w:pPr>
    </w:p>
    <w:p w14:paraId="67B57C5D">
      <w:pPr>
        <w:spacing w:line="560" w:lineRule="exact"/>
        <w:outlineLvl w:val="0"/>
        <w:rPr>
          <w:rFonts w:hint="eastAsia" w:ascii="仿宋_GB2312" w:hAnsi="宋体" w:eastAsia="仿宋_GB2312"/>
          <w:sz w:val="32"/>
          <w:szCs w:val="32"/>
        </w:rPr>
      </w:pPr>
    </w:p>
    <w:p w14:paraId="3870F47F">
      <w:pPr>
        <w:spacing w:line="560" w:lineRule="exact"/>
        <w:outlineLvl w:val="0"/>
        <w:rPr>
          <w:rFonts w:hint="eastAsia" w:ascii="仿宋_GB2312" w:hAnsi="宋体" w:eastAsia="仿宋_GB2312"/>
          <w:sz w:val="32"/>
          <w:szCs w:val="32"/>
        </w:rPr>
      </w:pPr>
    </w:p>
    <w:p w14:paraId="60607783">
      <w:pPr>
        <w:spacing w:line="560" w:lineRule="exact"/>
        <w:outlineLvl w:val="0"/>
        <w:rPr>
          <w:rFonts w:hint="eastAsia" w:ascii="仿宋_GB2312" w:hAnsi="宋体" w:eastAsia="仿宋_GB2312"/>
          <w:b/>
          <w:bCs/>
          <w:sz w:val="32"/>
          <w:szCs w:val="32"/>
        </w:rPr>
      </w:pPr>
      <w:r>
        <w:rPr>
          <w:rFonts w:hint="eastAsia" w:ascii="仿宋_GB2312" w:hAnsi="宋体" w:eastAsia="仿宋_GB2312"/>
          <w:b/>
          <w:bCs/>
          <w:sz w:val="32"/>
          <w:szCs w:val="32"/>
        </w:rPr>
        <w:t>附件7</w:t>
      </w:r>
    </w:p>
    <w:p w14:paraId="6FD5D273">
      <w:pPr>
        <w:spacing w:line="560" w:lineRule="exact"/>
        <w:outlineLvl w:val="0"/>
        <w:rPr>
          <w:rFonts w:hint="eastAsia" w:ascii="仿宋_GB2312" w:hAnsi="宋体" w:eastAsia="仿宋_GB2312"/>
          <w:sz w:val="32"/>
          <w:szCs w:val="32"/>
        </w:rPr>
      </w:pPr>
      <w:r>
        <w:rPr>
          <w:rFonts w:hint="eastAsia" w:ascii="仿宋_GB2312" w:hAnsi="宋体" w:eastAsia="仿宋_GB2312"/>
          <w:sz w:val="32"/>
          <w:szCs w:val="32"/>
        </w:rPr>
        <w:t>子基金（拟新设的子基金，须在种子基金实际出资前补齐以下材料）：</w:t>
      </w:r>
    </w:p>
    <w:p w14:paraId="78F77B43">
      <w:pPr>
        <w:pStyle w:val="22"/>
        <w:numPr>
          <w:ilvl w:val="0"/>
          <w:numId w:val="7"/>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营业执照；</w:t>
      </w:r>
    </w:p>
    <w:p w14:paraId="4940B259">
      <w:pPr>
        <w:pStyle w:val="22"/>
        <w:numPr>
          <w:ilvl w:val="0"/>
          <w:numId w:val="7"/>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合伙协议/公司章程/基金合同</w:t>
      </w:r>
      <w:r>
        <w:rPr>
          <w:rFonts w:ascii="仿宋_GB2312" w:hAnsi="宋体" w:eastAsia="仿宋_GB2312"/>
          <w:sz w:val="32"/>
          <w:szCs w:val="32"/>
        </w:rPr>
        <w:t>；</w:t>
      </w:r>
    </w:p>
    <w:p w14:paraId="5206E7A8">
      <w:pPr>
        <w:pStyle w:val="22"/>
        <w:numPr>
          <w:ilvl w:val="0"/>
          <w:numId w:val="7"/>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托管协议；</w:t>
      </w:r>
    </w:p>
    <w:p w14:paraId="6DF20460">
      <w:pPr>
        <w:pStyle w:val="22"/>
        <w:numPr>
          <w:ilvl w:val="0"/>
          <w:numId w:val="7"/>
        </w:numPr>
        <w:spacing w:line="560" w:lineRule="exact"/>
        <w:ind w:firstLineChars="0"/>
        <w:outlineLvl w:val="0"/>
        <w:rPr>
          <w:rFonts w:hint="eastAsia" w:ascii="仿宋_GB2312" w:hAnsi="宋体" w:eastAsia="仿宋_GB2312"/>
          <w:sz w:val="32"/>
          <w:szCs w:val="32"/>
        </w:rPr>
      </w:pPr>
      <w:r>
        <w:rPr>
          <w:rFonts w:hint="eastAsia" w:ascii="仿宋_GB2312" w:hAnsi="宋体" w:eastAsia="仿宋_GB2312"/>
          <w:sz w:val="32"/>
          <w:szCs w:val="32"/>
        </w:rPr>
        <w:t>备案证明材料。</w:t>
      </w:r>
    </w:p>
    <w:p w14:paraId="789EC9BD">
      <w:pPr>
        <w:spacing w:line="560" w:lineRule="exact"/>
        <w:outlineLvl w:val="0"/>
        <w:rPr>
          <w:b/>
          <w:bCs/>
        </w:rPr>
      </w:pPr>
      <w:r>
        <w:rPr>
          <w:rFonts w:ascii="仿宋_GB2312" w:hAnsi="宋体" w:eastAsia="仿宋_GB2312"/>
          <w:sz w:val="32"/>
          <w:szCs w:val="32"/>
        </w:rPr>
        <w:br w:type="page"/>
      </w:r>
      <w:r>
        <w:rPr>
          <w:rFonts w:ascii="仿宋_GB2312" w:hAnsi="宋体" w:eastAsia="仿宋_GB2312"/>
          <w:b/>
          <w:bCs/>
          <w:sz w:val="32"/>
          <w:szCs w:val="32"/>
        </w:rPr>
        <w:t>附件</w:t>
      </w:r>
      <w:r>
        <w:rPr>
          <w:rFonts w:hint="eastAsia" w:ascii="仿宋_GB2312" w:hAnsi="宋体" w:eastAsia="仿宋_GB2312"/>
          <w:b/>
          <w:bCs/>
          <w:sz w:val="32"/>
          <w:szCs w:val="32"/>
        </w:rPr>
        <w:t>8</w:t>
      </w:r>
    </w:p>
    <w:p w14:paraId="7EAE4307">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承诺函</w:t>
      </w:r>
    </w:p>
    <w:p w14:paraId="7E4E6EFB">
      <w:pPr>
        <w:spacing w:line="560" w:lineRule="exact"/>
        <w:rPr>
          <w:rFonts w:ascii="仿宋_GB2312" w:eastAsia="仿宋_GB2312"/>
          <w:sz w:val="32"/>
          <w:szCs w:val="32"/>
        </w:rPr>
      </w:pPr>
    </w:p>
    <w:p w14:paraId="220494BD">
      <w:pPr>
        <w:spacing w:line="560" w:lineRule="exact"/>
        <w:rPr>
          <w:rFonts w:ascii="仿宋_GB2312" w:eastAsia="仿宋_GB2312"/>
          <w:sz w:val="32"/>
          <w:szCs w:val="32"/>
        </w:rPr>
      </w:pPr>
      <w:r>
        <w:rPr>
          <w:rFonts w:hint="eastAsia" w:ascii="仿宋_GB2312" w:hAnsi="仿宋_GB2312" w:eastAsia="仿宋_GB2312" w:cs="仿宋"/>
          <w:sz w:val="32"/>
          <w:szCs w:val="32"/>
        </w:rPr>
        <w:t>深圳市天使投资引导基金管理有限公司</w:t>
      </w:r>
      <w:r>
        <w:rPr>
          <w:rFonts w:hint="eastAsia" w:ascii="仿宋_GB2312" w:eastAsia="仿宋_GB2312"/>
          <w:sz w:val="32"/>
          <w:szCs w:val="32"/>
        </w:rPr>
        <w:t>：</w:t>
      </w:r>
    </w:p>
    <w:p w14:paraId="24CACC63">
      <w:pPr>
        <w:spacing w:line="560" w:lineRule="exact"/>
        <w:ind w:firstLine="640" w:firstLineChars="200"/>
        <w:rPr>
          <w:rFonts w:ascii="仿宋_GB2312" w:eastAsia="仿宋_GB2312"/>
          <w:sz w:val="32"/>
          <w:szCs w:val="32"/>
        </w:rPr>
      </w:pPr>
      <w:r>
        <w:rPr>
          <w:rFonts w:hint="eastAsia" w:ascii="仿宋_GB2312" w:eastAsia="仿宋_GB2312"/>
          <w:sz w:val="32"/>
          <w:szCs w:val="32"/>
        </w:rPr>
        <w:t>本机构目前正在向贵司申报深圳市科技创新种子基金参与设立的X</w:t>
      </w:r>
      <w:r>
        <w:rPr>
          <w:rFonts w:ascii="仿宋_GB2312" w:eastAsia="仿宋_GB2312"/>
          <w:sz w:val="32"/>
          <w:szCs w:val="32"/>
        </w:rPr>
        <w:t>XX</w:t>
      </w:r>
      <w:r>
        <w:rPr>
          <w:rFonts w:hint="eastAsia" w:ascii="仿宋_GB2312" w:eastAsia="仿宋_GB2312"/>
          <w:sz w:val="32"/>
          <w:szCs w:val="32"/>
        </w:rPr>
        <w:t>（以下简称“基金”），现就基金申请设立相关事宜，作出以下说明和承诺：</w:t>
      </w:r>
    </w:p>
    <w:p w14:paraId="130FAE83">
      <w:pPr>
        <w:spacing w:line="560" w:lineRule="exact"/>
        <w:ind w:firstLine="640" w:firstLineChars="200"/>
        <w:rPr>
          <w:rFonts w:ascii="仿宋_GB2312" w:eastAsia="仿宋_GB2312"/>
          <w:sz w:val="32"/>
          <w:szCs w:val="32"/>
        </w:rPr>
      </w:pPr>
      <w:r>
        <w:rPr>
          <w:rFonts w:hint="eastAsia" w:ascii="仿宋_GB2312" w:eastAsia="仿宋_GB2312"/>
          <w:sz w:val="32"/>
          <w:szCs w:val="32"/>
        </w:rPr>
        <w:t>一、本机构理解《深圳市科技创新种子基金申报指南及遴选办法》及基金相关的法律、法规、规章、指引、办法和运行规则等文件的规定，承诺本机构和基金申请方案符合前述文件规定的要求；本机构将继续遵守前述文件的规定，并承诺基金设立之日起，完全按照文件的规定管理基金事务。</w:t>
      </w:r>
    </w:p>
    <w:p w14:paraId="5BA68213">
      <w:pPr>
        <w:spacing w:line="560" w:lineRule="exact"/>
        <w:ind w:firstLine="640" w:firstLineChars="200"/>
        <w:rPr>
          <w:rFonts w:ascii="仿宋_GB2312" w:eastAsia="仿宋_GB2312"/>
          <w:sz w:val="32"/>
          <w:szCs w:val="32"/>
        </w:rPr>
      </w:pPr>
      <w:r>
        <w:rPr>
          <w:rFonts w:hint="eastAsia" w:ascii="仿宋_GB2312" w:eastAsia="仿宋_GB2312"/>
          <w:sz w:val="32"/>
          <w:szCs w:val="32"/>
        </w:rPr>
        <w:t>二、本机构为在（X</w:t>
      </w:r>
      <w:r>
        <w:rPr>
          <w:rFonts w:ascii="仿宋_GB2312" w:eastAsia="仿宋_GB2312"/>
          <w:sz w:val="32"/>
          <w:szCs w:val="32"/>
        </w:rPr>
        <w:t>XXX</w:t>
      </w:r>
      <w:r>
        <w:rPr>
          <w:rFonts w:hint="eastAsia" w:ascii="仿宋_GB2312" w:eastAsia="仿宋_GB2312"/>
          <w:sz w:val="32"/>
          <w:szCs w:val="32"/>
        </w:rPr>
        <w:t>国家或地区）依法设立并有效存续的（有限责任公司、股份有限公司、合伙企业、事业单位或</w:t>
      </w:r>
      <w:r>
        <w:rPr>
          <w:rFonts w:ascii="仿宋_GB2312" w:eastAsia="仿宋_GB2312"/>
          <w:sz w:val="32"/>
          <w:szCs w:val="32"/>
        </w:rPr>
        <w:t>XXXX</w:t>
      </w:r>
      <w:r>
        <w:rPr>
          <w:rFonts w:hint="eastAsia" w:ascii="仿宋_GB2312" w:eastAsia="仿宋_GB2312"/>
          <w:sz w:val="32"/>
          <w:szCs w:val="32"/>
        </w:rPr>
        <w:t>其他法律主体）。</w:t>
      </w:r>
    </w:p>
    <w:p w14:paraId="1DD8EC5E">
      <w:pPr>
        <w:spacing w:line="560" w:lineRule="exact"/>
        <w:ind w:firstLine="640" w:firstLineChars="200"/>
        <w:rPr>
          <w:rFonts w:ascii="仿宋_GB2312" w:eastAsia="仿宋_GB2312"/>
          <w:sz w:val="32"/>
          <w:szCs w:val="32"/>
        </w:rPr>
      </w:pPr>
      <w:r>
        <w:rPr>
          <w:rFonts w:hint="eastAsia" w:ascii="仿宋_GB2312" w:eastAsia="仿宋_GB2312"/>
          <w:sz w:val="32"/>
          <w:szCs w:val="32"/>
        </w:rPr>
        <w:t>三、本机构承担基金的募资工作，承诺自贵司对基金设立方案公示期结束且无异议之日起【】（【】大写）个月完成合伙协议/公司章程/基金合同的签署工作；如基金未在前述期限内完成合伙协议/公司章程/基金合同的签署工作，本机构自愿放弃使用种子基金承诺出资并承担相应的法律责任。</w:t>
      </w:r>
    </w:p>
    <w:p w14:paraId="25F0A758">
      <w:pPr>
        <w:spacing w:line="560" w:lineRule="exact"/>
        <w:ind w:firstLine="640" w:firstLineChars="200"/>
        <w:rPr>
          <w:rFonts w:ascii="仿宋_GB2312" w:eastAsia="仿宋_GB2312"/>
          <w:sz w:val="32"/>
          <w:szCs w:val="32"/>
        </w:rPr>
      </w:pPr>
      <w:r>
        <w:rPr>
          <w:rFonts w:hint="eastAsia" w:ascii="仿宋_GB2312" w:eastAsia="仿宋_GB2312"/>
          <w:sz w:val="32"/>
          <w:szCs w:val="32"/>
        </w:rPr>
        <w:t>四、本机构相关人员提供的关于本机构、基金投资人、基金申请方案等全部资料和信息（包括但不限于基金申请材料及有关陈述、保证、声明、确认等）均是真实、准确和完整的，不存在虚假记载、误导性陈述和重大遗漏，且该等全部资料和信息的复印件/电子件均与原件完全一致。</w:t>
      </w:r>
    </w:p>
    <w:p w14:paraId="1C50A29A">
      <w:pPr>
        <w:snapToGrid w:val="0"/>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五、</w:t>
      </w:r>
      <w:r>
        <w:rPr>
          <w:rFonts w:hint="eastAsia" w:ascii="仿宋_GB2312" w:eastAsia="仿宋_GB2312"/>
          <w:sz w:val="32"/>
          <w:szCs w:val="32"/>
        </w:rPr>
        <w:t>本机构承诺若在基金启动尽调后，因本机构自身的原因主动放弃申请或因本机构原因导致基金无法在约定时间内完成设立的，由本机构承担因本次申请所产生的中介费用。</w:t>
      </w:r>
    </w:p>
    <w:p w14:paraId="5C7ABA4C">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六、因基金及其管理机构违反《深圳市科技创新种子基金申报指南及遴选办法》的相关规定导致种子基金强制退出而产生的风险和损失，本机构自愿承担。</w:t>
      </w:r>
    </w:p>
    <w:p w14:paraId="6B49D2F8">
      <w:pPr>
        <w:spacing w:line="560" w:lineRule="exact"/>
        <w:ind w:firstLine="640" w:firstLineChars="200"/>
        <w:rPr>
          <w:rFonts w:ascii="仿宋_GB2312" w:eastAsia="仿宋_GB2312"/>
          <w:sz w:val="32"/>
          <w:szCs w:val="32"/>
        </w:rPr>
      </w:pPr>
      <w:r>
        <w:rPr>
          <w:rFonts w:hint="eastAsia" w:ascii="仿宋_GB2312" w:eastAsia="仿宋_GB2312"/>
          <w:sz w:val="32"/>
          <w:szCs w:val="32"/>
        </w:rPr>
        <w:t>七、如上述说明和承诺情况存在任何虚假或隐瞒，本机构愿承担由此而产生的一切法律责任。同时，如贵司在基金设立后发现上述说明和承诺情况存在任何虚假或隐瞒，本机构愿承担由此而产生的包括但不限于以下法律责任：(1)向基金承担相应责任并赔偿由此对基金造成的全部损失；(2)依据基金合伙协议/公司章程/基金合同/《委托管理协议》等规定承担相应的法律责任；(3)承担其他与此相关的法律责任。</w:t>
      </w:r>
    </w:p>
    <w:p w14:paraId="0A2F5A60">
      <w:pPr>
        <w:spacing w:line="560" w:lineRule="exact"/>
        <w:ind w:left="480"/>
        <w:rPr>
          <w:rFonts w:ascii="仿宋_GB2312" w:eastAsia="仿宋_GB2312"/>
          <w:sz w:val="32"/>
          <w:szCs w:val="32"/>
        </w:rPr>
      </w:pPr>
      <w:r>
        <w:rPr>
          <w:rFonts w:hint="eastAsia" w:ascii="仿宋_GB2312" w:eastAsia="仿宋_GB2312"/>
          <w:sz w:val="32"/>
          <w:szCs w:val="32"/>
        </w:rPr>
        <w:t>特此！</w:t>
      </w:r>
    </w:p>
    <w:p w14:paraId="55AAC61A">
      <w:pPr>
        <w:spacing w:line="560" w:lineRule="exact"/>
        <w:ind w:left="480"/>
        <w:rPr>
          <w:rFonts w:ascii="仿宋_GB2312" w:eastAsia="仿宋_GB2312"/>
          <w:sz w:val="32"/>
          <w:szCs w:val="32"/>
        </w:rPr>
      </w:pPr>
    </w:p>
    <w:p w14:paraId="137EBA40">
      <w:pPr>
        <w:spacing w:line="560" w:lineRule="exact"/>
        <w:ind w:right="480" w:firstLine="3040" w:firstLineChars="950"/>
        <w:rPr>
          <w:rFonts w:ascii="仿宋_GB2312" w:eastAsia="仿宋_GB2312"/>
          <w:sz w:val="32"/>
          <w:szCs w:val="32"/>
        </w:rPr>
      </w:pPr>
      <w:r>
        <w:rPr>
          <w:rFonts w:hint="eastAsia" w:ascii="仿宋_GB2312" w:eastAsia="仿宋_GB2312"/>
          <w:sz w:val="32"/>
          <w:szCs w:val="32"/>
        </w:rPr>
        <w:t>承诺人：（公章、骑缝章）</w:t>
      </w:r>
    </w:p>
    <w:p w14:paraId="7FBBE4D0">
      <w:pPr>
        <w:spacing w:line="560" w:lineRule="exact"/>
        <w:ind w:right="480" w:firstLine="1920" w:firstLineChars="600"/>
        <w:rPr>
          <w:rFonts w:ascii="仿宋_GB2312" w:eastAsia="仿宋_GB2312"/>
          <w:sz w:val="32"/>
          <w:szCs w:val="32"/>
        </w:rPr>
      </w:pPr>
      <w:r>
        <w:rPr>
          <w:rFonts w:hint="eastAsia" w:ascii="仿宋_GB2312" w:eastAsia="仿宋_GB2312"/>
          <w:sz w:val="32"/>
          <w:szCs w:val="32"/>
        </w:rPr>
        <w:t>法定代表人/执行事务合伙人（签字）：</w:t>
      </w:r>
    </w:p>
    <w:p w14:paraId="66460F46">
      <w:pPr>
        <w:spacing w:line="560" w:lineRule="exact"/>
        <w:ind w:right="480" w:firstLine="8160" w:firstLineChars="2550"/>
        <w:rPr>
          <w:rFonts w:ascii="仿宋_GB2312" w:eastAsia="仿宋_GB2312"/>
          <w:sz w:val="32"/>
          <w:szCs w:val="32"/>
        </w:rPr>
      </w:pPr>
    </w:p>
    <w:p w14:paraId="28C4D942">
      <w:pPr>
        <w:spacing w:line="560" w:lineRule="exact"/>
        <w:ind w:right="480"/>
        <w:rPr>
          <w:rFonts w:ascii="仿宋_GB2312" w:eastAsia="仿宋_GB2312"/>
          <w:sz w:val="32"/>
          <w:szCs w:val="32"/>
        </w:rPr>
      </w:pPr>
      <w:r>
        <w:rPr>
          <w:rFonts w:hint="eastAsia" w:ascii="仿宋_GB2312" w:eastAsia="仿宋_GB2312"/>
          <w:sz w:val="32"/>
          <w:szCs w:val="32"/>
        </w:rPr>
        <w:t xml:space="preserve">                         日期：    年   月  日</w:t>
      </w:r>
    </w:p>
    <w:p w14:paraId="22CF70E0">
      <w:pPr>
        <w:spacing w:line="560" w:lineRule="exact"/>
        <w:rPr>
          <w:rFonts w:hint="eastAsia" w:ascii="仿宋_GB2312" w:hAnsi="宋体" w:eastAsia="仿宋_GB2312"/>
          <w:b/>
          <w:bCs/>
          <w:sz w:val="32"/>
          <w:szCs w:val="32"/>
        </w:rPr>
      </w:pPr>
      <w:r>
        <w:rPr>
          <w:rFonts w:ascii="宋体" w:hAnsi="宋体"/>
          <w:sz w:val="28"/>
          <w:szCs w:val="28"/>
        </w:rPr>
        <w:br w:type="page"/>
      </w:r>
      <w:r>
        <w:rPr>
          <w:rFonts w:hint="eastAsia" w:ascii="仿宋_GB2312" w:hAnsi="宋体" w:eastAsia="仿宋_GB2312"/>
          <w:b/>
          <w:bCs/>
          <w:sz w:val="32"/>
          <w:szCs w:val="32"/>
        </w:rPr>
        <w:t>附件9</w:t>
      </w:r>
    </w:p>
    <w:p w14:paraId="0B2A0830">
      <w:pPr>
        <w:spacing w:line="560" w:lineRule="exact"/>
        <w:jc w:val="center"/>
        <w:rPr>
          <w:rFonts w:ascii="方正小标宋简体" w:eastAsia="方正小标宋简体"/>
          <w:sz w:val="32"/>
        </w:rPr>
      </w:pPr>
      <w:r>
        <w:rPr>
          <w:rFonts w:hint="eastAsia" w:ascii="方正小标宋简体" w:eastAsia="方正小标宋简体"/>
          <w:sz w:val="32"/>
        </w:rPr>
        <w:t>子基金合规性自查表</w:t>
      </w:r>
    </w:p>
    <w:p w14:paraId="6688BF80">
      <w:pPr>
        <w:spacing w:line="560" w:lineRule="exact"/>
        <w:rPr>
          <w:sz w:val="24"/>
          <w:u w:val="single"/>
        </w:rPr>
      </w:pPr>
      <w:r>
        <w:rPr>
          <w:rFonts w:hint="eastAsia"/>
          <w:sz w:val="24"/>
          <w:u w:val="single"/>
        </w:rPr>
        <w:t>拟申报子基金名称：</w:t>
      </w:r>
    </w:p>
    <w:p w14:paraId="272775D5">
      <w:pPr>
        <w:spacing w:line="560" w:lineRule="exact"/>
        <w:rPr>
          <w:sz w:val="24"/>
          <w:u w:val="single"/>
        </w:rPr>
      </w:pPr>
    </w:p>
    <w:tbl>
      <w:tblPr>
        <w:tblStyle w:val="10"/>
        <w:tblW w:w="9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6496"/>
        <w:gridCol w:w="1134"/>
        <w:gridCol w:w="970"/>
      </w:tblGrid>
      <w:tr w14:paraId="5208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650" w:type="dxa"/>
            <w:gridSpan w:val="2"/>
            <w:vAlign w:val="center"/>
          </w:tcPr>
          <w:p w14:paraId="2FE0282C">
            <w:pPr>
              <w:snapToGrid w:val="0"/>
              <w:spacing w:line="400" w:lineRule="exact"/>
              <w:contextualSpacing/>
              <w:jc w:val="center"/>
            </w:pPr>
            <w:r>
              <w:rPr>
                <w:rFonts w:hint="eastAsia"/>
              </w:rPr>
              <w:t>项目</w:t>
            </w:r>
          </w:p>
        </w:tc>
        <w:tc>
          <w:tcPr>
            <w:tcW w:w="1134" w:type="dxa"/>
            <w:vAlign w:val="center"/>
          </w:tcPr>
          <w:p w14:paraId="4571F7E0">
            <w:pPr>
              <w:snapToGrid w:val="0"/>
              <w:spacing w:line="400" w:lineRule="exact"/>
              <w:contextualSpacing/>
              <w:jc w:val="center"/>
            </w:pPr>
            <w:r>
              <w:rPr>
                <w:rFonts w:hint="eastAsia"/>
              </w:rPr>
              <w:t>是否符合</w:t>
            </w:r>
          </w:p>
        </w:tc>
        <w:tc>
          <w:tcPr>
            <w:tcW w:w="970" w:type="dxa"/>
            <w:vAlign w:val="center"/>
          </w:tcPr>
          <w:p w14:paraId="403F28B0">
            <w:pPr>
              <w:snapToGrid w:val="0"/>
              <w:spacing w:line="400" w:lineRule="exact"/>
              <w:contextualSpacing/>
              <w:jc w:val="center"/>
            </w:pPr>
            <w:r>
              <w:rPr>
                <w:rFonts w:hint="eastAsia"/>
              </w:rPr>
              <w:t>备注</w:t>
            </w:r>
          </w:p>
        </w:tc>
      </w:tr>
      <w:tr w14:paraId="6D6F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4" w:type="dxa"/>
            <w:gridSpan w:val="4"/>
            <w:vAlign w:val="center"/>
          </w:tcPr>
          <w:p w14:paraId="33BCCF73">
            <w:pPr>
              <w:snapToGrid w:val="0"/>
              <w:spacing w:line="400" w:lineRule="exact"/>
              <w:contextualSpacing/>
              <w:rPr>
                <w:rFonts w:cs="Arial"/>
                <w:szCs w:val="21"/>
              </w:rPr>
            </w:pPr>
            <w:r>
              <w:rPr>
                <w:rFonts w:hint="eastAsia" w:cs="Arial"/>
                <w:szCs w:val="21"/>
              </w:rPr>
              <w:t>一、子基金应符合以下条件：</w:t>
            </w:r>
          </w:p>
        </w:tc>
      </w:tr>
      <w:tr w14:paraId="341E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54" w:type="dxa"/>
            <w:vAlign w:val="center"/>
          </w:tcPr>
          <w:p w14:paraId="615E65C6">
            <w:pPr>
              <w:snapToGrid w:val="0"/>
              <w:spacing w:line="400" w:lineRule="exact"/>
              <w:contextualSpacing/>
            </w:pPr>
            <w:r>
              <w:rPr>
                <w:rFonts w:hint="eastAsia"/>
              </w:rPr>
              <w:t>基金类型</w:t>
            </w:r>
          </w:p>
        </w:tc>
        <w:tc>
          <w:tcPr>
            <w:tcW w:w="6496" w:type="dxa"/>
            <w:vAlign w:val="center"/>
          </w:tcPr>
          <w:p w14:paraId="7D7359D5">
            <w:pPr>
              <w:snapToGrid w:val="0"/>
              <w:spacing w:line="400" w:lineRule="exact"/>
              <w:contextualSpacing/>
            </w:pPr>
            <w:r>
              <w:rPr>
                <w:rFonts w:hint="eastAsia"/>
              </w:rPr>
              <w:t>直接股权投资方式投资于种子类项目的种子投资基金。</w:t>
            </w:r>
          </w:p>
        </w:tc>
        <w:tc>
          <w:tcPr>
            <w:tcW w:w="1134" w:type="dxa"/>
            <w:vAlign w:val="center"/>
          </w:tcPr>
          <w:p w14:paraId="4D4A38B7">
            <w:pPr>
              <w:keepNext/>
              <w:keepLines/>
              <w:snapToGrid w:val="0"/>
              <w:spacing w:before="260" w:after="260" w:line="400" w:lineRule="exact"/>
              <w:contextualSpacing/>
              <w:rPr>
                <w:rFonts w:cs="Arial"/>
                <w:szCs w:val="21"/>
              </w:rPr>
            </w:pPr>
          </w:p>
        </w:tc>
        <w:tc>
          <w:tcPr>
            <w:tcW w:w="970" w:type="dxa"/>
            <w:vAlign w:val="center"/>
          </w:tcPr>
          <w:p w14:paraId="336E9388">
            <w:pPr>
              <w:keepNext/>
              <w:keepLines/>
              <w:snapToGrid w:val="0"/>
              <w:spacing w:before="260" w:after="260" w:line="400" w:lineRule="exact"/>
              <w:contextualSpacing/>
              <w:rPr>
                <w:rFonts w:cs="Arial"/>
                <w:szCs w:val="21"/>
              </w:rPr>
            </w:pPr>
          </w:p>
        </w:tc>
      </w:tr>
      <w:tr w14:paraId="6F31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54" w:type="dxa"/>
            <w:vAlign w:val="center"/>
          </w:tcPr>
          <w:p w14:paraId="1423D501">
            <w:pPr>
              <w:snapToGrid w:val="0"/>
              <w:spacing w:line="400" w:lineRule="exact"/>
              <w:contextualSpacing/>
            </w:pPr>
            <w:r>
              <w:rPr>
                <w:rFonts w:hint="eastAsia"/>
              </w:rPr>
              <w:t>注册地</w:t>
            </w:r>
          </w:p>
        </w:tc>
        <w:tc>
          <w:tcPr>
            <w:tcW w:w="6496" w:type="dxa"/>
            <w:vAlign w:val="center"/>
          </w:tcPr>
          <w:p w14:paraId="3DAF4601">
            <w:pPr>
              <w:snapToGrid w:val="0"/>
              <w:spacing w:line="400" w:lineRule="exact"/>
              <w:contextualSpacing/>
            </w:pPr>
            <w:r>
              <w:rPr>
                <w:rFonts w:hint="eastAsia"/>
              </w:rPr>
              <w:t>深圳市。</w:t>
            </w:r>
          </w:p>
        </w:tc>
        <w:tc>
          <w:tcPr>
            <w:tcW w:w="1134" w:type="dxa"/>
            <w:vAlign w:val="center"/>
          </w:tcPr>
          <w:p w14:paraId="081D6883">
            <w:pPr>
              <w:keepNext/>
              <w:keepLines/>
              <w:snapToGrid w:val="0"/>
              <w:spacing w:before="260" w:after="260" w:line="400" w:lineRule="exact"/>
              <w:contextualSpacing/>
              <w:rPr>
                <w:rFonts w:cs="Arial"/>
                <w:szCs w:val="21"/>
              </w:rPr>
            </w:pPr>
          </w:p>
        </w:tc>
        <w:tc>
          <w:tcPr>
            <w:tcW w:w="970" w:type="dxa"/>
            <w:vAlign w:val="center"/>
          </w:tcPr>
          <w:p w14:paraId="6B3F1C64">
            <w:pPr>
              <w:keepNext/>
              <w:keepLines/>
              <w:snapToGrid w:val="0"/>
              <w:spacing w:before="260" w:after="260" w:line="400" w:lineRule="exact"/>
              <w:contextualSpacing/>
              <w:rPr>
                <w:rFonts w:cs="Arial"/>
                <w:szCs w:val="21"/>
              </w:rPr>
            </w:pPr>
          </w:p>
        </w:tc>
      </w:tr>
      <w:tr w14:paraId="48A2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1154" w:type="dxa"/>
            <w:vAlign w:val="center"/>
          </w:tcPr>
          <w:p w14:paraId="470D3348">
            <w:pPr>
              <w:snapToGrid w:val="0"/>
              <w:spacing w:line="400" w:lineRule="exact"/>
              <w:contextualSpacing/>
              <w:jc w:val="center"/>
              <w:rPr>
                <w:sz w:val="18"/>
              </w:rPr>
            </w:pPr>
            <w:r>
              <w:rPr>
                <w:rFonts w:hint="eastAsia"/>
              </w:rPr>
              <w:t>基金规模及出资比例</w:t>
            </w:r>
          </w:p>
        </w:tc>
        <w:tc>
          <w:tcPr>
            <w:tcW w:w="6496" w:type="dxa"/>
            <w:vAlign w:val="center"/>
          </w:tcPr>
          <w:p w14:paraId="6075230D">
            <w:pPr>
              <w:snapToGrid w:val="0"/>
              <w:spacing w:line="400" w:lineRule="exact"/>
              <w:contextualSpacing/>
              <w:rPr>
                <w:rFonts w:hint="eastAsia" w:ascii="宋体" w:hAnsi="宋体"/>
                <w:szCs w:val="21"/>
              </w:rPr>
            </w:pPr>
            <w:r>
              <w:rPr>
                <w:rFonts w:hint="eastAsia"/>
              </w:rPr>
              <w:t>子基金规模原则上应与其管理机构的投资能力相匹配。种子基金对单支子基金出资规模原则上不超过</w:t>
            </w:r>
            <w:r>
              <w:t>1</w:t>
            </w:r>
            <w:r>
              <w:rPr>
                <w:rFonts w:hint="eastAsia"/>
              </w:rPr>
              <w:t>亿元，且</w:t>
            </w:r>
            <w:r>
              <w:rPr>
                <w:rFonts w:hint="eastAsia" w:ascii="宋体" w:hAnsi="宋体"/>
                <w:szCs w:val="21"/>
              </w:rPr>
              <w:t>子基金向种子基金申请的出资比例不超过子基金认缴出资总金额的</w:t>
            </w:r>
            <w:r>
              <w:rPr>
                <w:rFonts w:ascii="宋体" w:hAnsi="宋体"/>
                <w:szCs w:val="21"/>
              </w:rPr>
              <w:t>50%。</w:t>
            </w:r>
            <w:r>
              <w:rPr>
                <w:rFonts w:hint="eastAsia" w:ascii="宋体" w:hAnsi="宋体"/>
                <w:szCs w:val="21"/>
              </w:rPr>
              <w:t>单一子基金总规模不低于3000万元人民币。市、区引导基金统筹协调安排出资，合计认缴出资比例原则上不超过子基金目标规模的80%，其中种子基金不超过50%。种子基金可与区引导基金及其他出资方共同发起设立子基金；也可以由种子基金与其他出资方发起先行设立，在种子基金出资后一年内，若有区引导基金统筹协调的财政、国有资金完成向子基金增资决策的，种子基金可根据其实际出资情况增加对子基金认缴出资。</w:t>
            </w:r>
          </w:p>
        </w:tc>
        <w:tc>
          <w:tcPr>
            <w:tcW w:w="1134" w:type="dxa"/>
            <w:vAlign w:val="center"/>
          </w:tcPr>
          <w:p w14:paraId="08CE9805">
            <w:pPr>
              <w:snapToGrid w:val="0"/>
              <w:spacing w:line="400" w:lineRule="exact"/>
              <w:contextualSpacing/>
              <w:rPr>
                <w:rFonts w:cs="Arial"/>
                <w:szCs w:val="21"/>
              </w:rPr>
            </w:pPr>
          </w:p>
        </w:tc>
        <w:tc>
          <w:tcPr>
            <w:tcW w:w="970" w:type="dxa"/>
            <w:vAlign w:val="center"/>
          </w:tcPr>
          <w:p w14:paraId="78AAB9AD">
            <w:pPr>
              <w:snapToGrid w:val="0"/>
              <w:spacing w:line="400" w:lineRule="exact"/>
              <w:contextualSpacing/>
              <w:rPr>
                <w:rFonts w:cs="Arial"/>
                <w:szCs w:val="21"/>
              </w:rPr>
            </w:pPr>
          </w:p>
        </w:tc>
      </w:tr>
      <w:tr w14:paraId="3E73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54" w:type="dxa"/>
            <w:vAlign w:val="center"/>
          </w:tcPr>
          <w:p w14:paraId="0D0FD4EC">
            <w:pPr>
              <w:snapToGrid w:val="0"/>
              <w:spacing w:line="400" w:lineRule="exact"/>
              <w:contextualSpacing/>
            </w:pPr>
            <w:r>
              <w:rPr>
                <w:rFonts w:hint="eastAsia"/>
              </w:rPr>
              <w:t>存续期限</w:t>
            </w:r>
          </w:p>
        </w:tc>
        <w:tc>
          <w:tcPr>
            <w:tcW w:w="6496" w:type="dxa"/>
            <w:vAlign w:val="center"/>
          </w:tcPr>
          <w:p w14:paraId="336812BD">
            <w:pPr>
              <w:snapToGrid w:val="0"/>
              <w:spacing w:line="400" w:lineRule="exact"/>
              <w:contextualSpacing/>
              <w:rPr>
                <w:rFonts w:hint="eastAsia" w:ascii="宋体" w:hAnsi="宋体"/>
                <w:szCs w:val="21"/>
              </w:rPr>
            </w:pPr>
            <w:r>
              <w:rPr>
                <w:rFonts w:hint="eastAsia" w:ascii="宋体" w:hAnsi="宋体"/>
                <w:szCs w:val="21"/>
              </w:rPr>
              <w:t>不超过</w:t>
            </w:r>
            <w:r>
              <w:rPr>
                <w:rFonts w:ascii="宋体" w:hAnsi="宋体"/>
                <w:szCs w:val="21"/>
              </w:rPr>
              <w:t>15年。</w:t>
            </w:r>
          </w:p>
        </w:tc>
        <w:tc>
          <w:tcPr>
            <w:tcW w:w="1134" w:type="dxa"/>
            <w:vAlign w:val="center"/>
          </w:tcPr>
          <w:p w14:paraId="3AA3AE8F">
            <w:pPr>
              <w:keepNext/>
              <w:keepLines/>
              <w:snapToGrid w:val="0"/>
              <w:spacing w:before="260" w:after="260" w:line="400" w:lineRule="exact"/>
              <w:contextualSpacing/>
              <w:rPr>
                <w:rFonts w:cs="Arial"/>
                <w:szCs w:val="21"/>
              </w:rPr>
            </w:pPr>
          </w:p>
        </w:tc>
        <w:tc>
          <w:tcPr>
            <w:tcW w:w="970" w:type="dxa"/>
            <w:vAlign w:val="center"/>
          </w:tcPr>
          <w:p w14:paraId="346C6BE2">
            <w:pPr>
              <w:keepNext/>
              <w:keepLines/>
              <w:snapToGrid w:val="0"/>
              <w:spacing w:before="260" w:after="260" w:line="400" w:lineRule="exact"/>
              <w:contextualSpacing/>
              <w:rPr>
                <w:rFonts w:cs="Arial"/>
                <w:szCs w:val="21"/>
              </w:rPr>
            </w:pPr>
          </w:p>
        </w:tc>
      </w:tr>
      <w:tr w14:paraId="1104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54" w:type="dxa"/>
            <w:vAlign w:val="center"/>
          </w:tcPr>
          <w:p w14:paraId="6FDA969B">
            <w:pPr>
              <w:snapToGrid w:val="0"/>
              <w:spacing w:line="400" w:lineRule="exact"/>
              <w:contextualSpacing/>
            </w:pPr>
            <w:r>
              <w:rPr>
                <w:rFonts w:hint="eastAsia"/>
              </w:rPr>
              <w:t>投资标的</w:t>
            </w:r>
          </w:p>
        </w:tc>
        <w:tc>
          <w:tcPr>
            <w:tcW w:w="6496" w:type="dxa"/>
            <w:vAlign w:val="center"/>
          </w:tcPr>
          <w:p w14:paraId="2FD0A016">
            <w:pPr>
              <w:snapToGrid w:val="0"/>
              <w:spacing w:line="400" w:lineRule="exact"/>
              <w:contextualSpacing/>
            </w:pPr>
            <w:r>
              <w:rPr>
                <w:rFonts w:hint="eastAsia"/>
              </w:rPr>
              <w:t>子基金须全部投向种子类项目（子基金后续追加投资的项目除外），种子类项目包括极早期创业企业、尚未实体运作项目及追加投资。</w:t>
            </w:r>
          </w:p>
          <w:p w14:paraId="719A357F">
            <w:pPr>
              <w:snapToGrid w:val="0"/>
              <w:spacing w:line="400" w:lineRule="exact"/>
              <w:contextualSpacing/>
            </w:pPr>
            <w:r>
              <w:rPr>
                <w:rFonts w:hint="eastAsia"/>
              </w:rPr>
              <w:t>1.极早期初创企业，需满足以下条件：</w:t>
            </w:r>
          </w:p>
          <w:p w14:paraId="44032A3E">
            <w:pPr>
              <w:snapToGrid w:val="0"/>
              <w:spacing w:line="400" w:lineRule="exact"/>
              <w:contextualSpacing/>
            </w:pPr>
            <w:r>
              <w:rPr>
                <w:rFonts w:hint="eastAsia"/>
              </w:rPr>
              <w:t>（1）子基金的投资须为其首轮外部机构投资。</w:t>
            </w:r>
          </w:p>
          <w:p w14:paraId="487875F3">
            <w:pPr>
              <w:snapToGrid w:val="0"/>
              <w:spacing w:line="400" w:lineRule="exact"/>
              <w:contextualSpacing/>
            </w:pPr>
            <w:r>
              <w:rPr>
                <w:rFonts w:hint="eastAsia"/>
              </w:rPr>
              <w:t>（2）子基金投资决策时企业估值不超过1亿元人民币，</w:t>
            </w:r>
            <w:r>
              <w:rPr>
                <w:rFonts w:hint="eastAsia" w:hAnsi="仿宋_GB2312" w:cs="仿宋_GB2312"/>
                <w:bCs/>
                <w:kern w:val="0"/>
                <w:szCs w:val="32"/>
                <w:lang w:bidi="zh-TW"/>
              </w:rPr>
              <w:t>人工智能、智能机器人等估值较高的领域可适当放宽，</w:t>
            </w:r>
            <w:r>
              <w:rPr>
                <w:rFonts w:hint="eastAsia"/>
              </w:rPr>
              <w:t>企业估值以投前估值为准。</w:t>
            </w:r>
          </w:p>
          <w:p w14:paraId="5051B48E">
            <w:pPr>
              <w:snapToGrid w:val="0"/>
              <w:spacing w:line="400" w:lineRule="exact"/>
              <w:contextualSpacing/>
            </w:pPr>
            <w:r>
              <w:rPr>
                <w:rFonts w:hint="eastAsia"/>
              </w:rPr>
              <w:t>2.追加投资项目是指子基金对其已经投资的项目超出极早期初创企业标准后的再次投资。</w:t>
            </w:r>
          </w:p>
          <w:p w14:paraId="69889E26">
            <w:pPr>
              <w:snapToGrid w:val="0"/>
              <w:spacing w:line="400" w:lineRule="exact"/>
              <w:contextualSpacing/>
            </w:pPr>
            <w:r>
              <w:rPr>
                <w:rFonts w:hint="eastAsia"/>
              </w:rPr>
              <w:t>3.投资对象为尚未实体运作项目，包括但不限于以下项目类型：</w:t>
            </w:r>
          </w:p>
          <w:p w14:paraId="39280D98">
            <w:pPr>
              <w:snapToGrid w:val="0"/>
              <w:spacing w:line="400" w:lineRule="exact"/>
              <w:contextualSpacing/>
            </w:pPr>
            <w:r>
              <w:rPr>
                <w:rFonts w:hint="eastAsia"/>
              </w:rPr>
              <w:t>（1）国家、省、市重点实验室，国家、省、市制造业创新中心，技术创新中心和产业创新中心，高等院校及研究机构在研的处于概念验证和中试阶段的科创项目。</w:t>
            </w:r>
          </w:p>
          <w:p w14:paraId="509E4860">
            <w:pPr>
              <w:snapToGrid w:val="0"/>
              <w:spacing w:line="400" w:lineRule="exact"/>
              <w:contextualSpacing/>
            </w:pPr>
            <w:r>
              <w:rPr>
                <w:rFonts w:hint="eastAsia"/>
              </w:rPr>
              <w:t>（2）市科技创新局种子项目库、或</w:t>
            </w:r>
            <w:r>
              <w:rPr>
                <w:rFonts w:hint="eastAsia"/>
                <w:bCs/>
              </w:rPr>
              <w:t>河套深港科技创新合作区、</w:t>
            </w:r>
            <w:r>
              <w:rPr>
                <w:rFonts w:hint="eastAsia"/>
              </w:rPr>
              <w:t>光明科学城等市、区重点科技成果转化项目。</w:t>
            </w:r>
          </w:p>
          <w:p w14:paraId="634B61A4">
            <w:pPr>
              <w:snapToGrid w:val="0"/>
              <w:spacing w:line="400" w:lineRule="exact"/>
              <w:contextualSpacing/>
            </w:pPr>
            <w:r>
              <w:rPr>
                <w:rFonts w:hint="eastAsia"/>
              </w:rPr>
              <w:t>（3）海外高层次人才团队项目。</w:t>
            </w:r>
          </w:p>
          <w:p w14:paraId="5DEDB774">
            <w:pPr>
              <w:snapToGrid w:val="0"/>
              <w:spacing w:line="400" w:lineRule="exact"/>
              <w:contextualSpacing/>
              <w:rPr>
                <w:rFonts w:hint="eastAsia" w:ascii="宋体" w:hAnsi="宋体" w:cs="宋体"/>
                <w:szCs w:val="21"/>
              </w:rPr>
            </w:pPr>
            <w:r>
              <w:rPr>
                <w:rFonts w:hint="eastAsia"/>
              </w:rPr>
              <w:t>（4）深圳市重大科技基础设施关联的科技成果转化等相关项目。</w:t>
            </w:r>
          </w:p>
        </w:tc>
        <w:tc>
          <w:tcPr>
            <w:tcW w:w="1134" w:type="dxa"/>
            <w:vAlign w:val="center"/>
          </w:tcPr>
          <w:p w14:paraId="03A3C60B">
            <w:pPr>
              <w:keepNext/>
              <w:keepLines/>
              <w:snapToGrid w:val="0"/>
              <w:spacing w:before="260" w:after="260" w:line="400" w:lineRule="exact"/>
              <w:contextualSpacing/>
              <w:rPr>
                <w:szCs w:val="21"/>
              </w:rPr>
            </w:pPr>
          </w:p>
        </w:tc>
        <w:tc>
          <w:tcPr>
            <w:tcW w:w="970" w:type="dxa"/>
            <w:vAlign w:val="center"/>
          </w:tcPr>
          <w:p w14:paraId="3CF152DD">
            <w:pPr>
              <w:pStyle w:val="16"/>
              <w:keepNext/>
              <w:keepLines/>
              <w:snapToGrid w:val="0"/>
              <w:spacing w:before="260" w:after="260" w:line="400" w:lineRule="exact"/>
              <w:ind w:left="360" w:firstLine="0" w:firstLineChars="0"/>
              <w:contextualSpacing/>
              <w:rPr>
                <w:szCs w:val="21"/>
              </w:rPr>
            </w:pPr>
          </w:p>
        </w:tc>
      </w:tr>
      <w:tr w14:paraId="1AD2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1154" w:type="dxa"/>
            <w:vAlign w:val="center"/>
          </w:tcPr>
          <w:p w14:paraId="7B1FDF41">
            <w:pPr>
              <w:keepNext/>
              <w:keepLines/>
              <w:snapToGrid w:val="0"/>
              <w:spacing w:before="260" w:after="260" w:line="400" w:lineRule="exact"/>
              <w:contextualSpacing/>
            </w:pPr>
            <w:r>
              <w:rPr>
                <w:rFonts w:hint="eastAsia"/>
              </w:rPr>
              <w:t>投资地域</w:t>
            </w:r>
          </w:p>
        </w:tc>
        <w:tc>
          <w:tcPr>
            <w:tcW w:w="6496" w:type="dxa"/>
            <w:vAlign w:val="center"/>
          </w:tcPr>
          <w:p w14:paraId="512EC120">
            <w:pPr>
              <w:snapToGrid w:val="0"/>
              <w:spacing w:line="400" w:lineRule="exact"/>
              <w:contextualSpacing/>
              <w:rPr>
                <w:rFonts w:hint="eastAsia" w:ascii="宋体" w:hAnsi="宋体"/>
                <w:szCs w:val="21"/>
              </w:rPr>
            </w:pPr>
            <w:r>
              <w:rPr>
                <w:rFonts w:ascii="宋体" w:hAnsi="宋体"/>
                <w:szCs w:val="21"/>
              </w:rPr>
              <w:t>1.</w:t>
            </w:r>
            <w:r>
              <w:rPr>
                <w:rFonts w:hint="eastAsia" w:ascii="宋体" w:hAnsi="宋体"/>
                <w:szCs w:val="21"/>
              </w:rPr>
              <w:t>子基金投资于在深圳市内注册登记的企业，或承诺投资后三年内总部落地深圳的境内外企业的投资金额原则上不低于市区两级引导基金（含区引导基金统筹协调的财政、国有资金）合计在子基金中的出资额。在子基金作为股东于企业内完全退出前，被投企业应在深圳从事主要生产经营活动。</w:t>
            </w:r>
          </w:p>
          <w:p w14:paraId="09B3CF5B">
            <w:pPr>
              <w:snapToGrid w:val="0"/>
              <w:spacing w:line="400" w:lineRule="exact"/>
              <w:contextualSpacing/>
              <w:rPr>
                <w:rFonts w:hint="eastAsia" w:ascii="宋体" w:hAnsi="宋体"/>
                <w:szCs w:val="21"/>
              </w:rPr>
            </w:pPr>
            <w:r>
              <w:rPr>
                <w:rFonts w:hint="eastAsia" w:ascii="宋体" w:hAnsi="宋体"/>
                <w:szCs w:val="21"/>
              </w:rPr>
              <w:t>2.子基金可投资于因企业融资或境外上市等客观经营要求而设立的境外持股主体或控制主体，但实际经营总部注册在深圳的企业，实际经营总部实缴注册资本须不低于子基金对已投企业的对应投资金额，上述情形下的企业可按照投资该项目的实际金额计入子基金投资深圳的金额。</w:t>
            </w:r>
          </w:p>
          <w:p w14:paraId="52268AA8">
            <w:pPr>
              <w:snapToGrid w:val="0"/>
              <w:spacing w:line="400" w:lineRule="exact"/>
              <w:contextualSpacing/>
              <w:rPr>
                <w:rFonts w:hint="eastAsia" w:ascii="宋体" w:hAnsi="宋体"/>
                <w:szCs w:val="21"/>
              </w:rPr>
            </w:pPr>
            <w:r>
              <w:rPr>
                <w:rFonts w:ascii="宋体" w:hAnsi="宋体"/>
                <w:szCs w:val="21"/>
              </w:rPr>
              <w:t>3.</w:t>
            </w:r>
            <w:r>
              <w:rPr>
                <w:rFonts w:hint="eastAsia" w:ascii="宋体" w:hAnsi="宋体"/>
                <w:szCs w:val="21"/>
              </w:rPr>
              <w:t>如果被投企业未按承诺在子基金投资后三年内被投企业或其总部落地深圳市内的，或在子基金作为股东于企业内完全退出前，被投企业未在深圳从事主要生产经营活动的，自被投企业未完成承诺之日或未在深圳从事主要生产经营活动之日起，子基金管理机构或其控股股东（公司制）、普通合伙人（合伙制）管理的其他基金或自有资金投资的项目（符合深圳重点产业方向）注册地迁入深圳，经管理公司进行合规性审核后，上述情形下的企业可按照投资该项目的实际金额计入子基金投资深圳的金额。若项目方注册地未迁入深圳，仅通过设立子公司的形式将主要生产研发基地落户深圳的情况，可按照投资该项目的实际金额的</w:t>
            </w:r>
            <w:r>
              <w:rPr>
                <w:rFonts w:ascii="宋体" w:hAnsi="宋体"/>
                <w:szCs w:val="21"/>
              </w:rPr>
              <w:t>50%</w:t>
            </w:r>
            <w:r>
              <w:rPr>
                <w:rFonts w:hint="eastAsia" w:ascii="宋体" w:hAnsi="宋体"/>
                <w:szCs w:val="21"/>
              </w:rPr>
              <w:t>计入子基金投资深圳的金额。上述情形下的企业应当在深圳实际运营并纳税，有人员在深圳缴纳社保（含当地第三方公司代交或购买劳务），并承诺</w:t>
            </w:r>
            <w:r>
              <w:rPr>
                <w:rFonts w:ascii="宋体" w:hAnsi="宋体"/>
                <w:szCs w:val="21"/>
              </w:rPr>
              <w:t>5</w:t>
            </w:r>
            <w:r>
              <w:rPr>
                <w:rFonts w:hint="eastAsia" w:ascii="宋体" w:hAnsi="宋体"/>
                <w:szCs w:val="21"/>
              </w:rPr>
              <w:t>年内不得迁出，投资收益不享受本方案规定的让利奖励。</w:t>
            </w:r>
          </w:p>
          <w:p w14:paraId="4BA46A8A">
            <w:pPr>
              <w:snapToGrid w:val="0"/>
              <w:spacing w:line="400" w:lineRule="exact"/>
              <w:contextualSpacing/>
              <w:rPr>
                <w:rFonts w:hint="eastAsia" w:ascii="宋体" w:hAnsi="宋体"/>
                <w:szCs w:val="21"/>
              </w:rPr>
            </w:pPr>
            <w:r>
              <w:rPr>
                <w:rFonts w:hint="eastAsia" w:ascii="宋体" w:hAnsi="宋体"/>
                <w:szCs w:val="21"/>
              </w:rPr>
              <w:t>4.其他按子基金投后管理办法认定的返投情形。</w:t>
            </w:r>
          </w:p>
        </w:tc>
        <w:tc>
          <w:tcPr>
            <w:tcW w:w="1134" w:type="dxa"/>
            <w:vAlign w:val="center"/>
          </w:tcPr>
          <w:p w14:paraId="7D980DA4">
            <w:pPr>
              <w:snapToGrid w:val="0"/>
              <w:spacing w:line="400" w:lineRule="exact"/>
              <w:contextualSpacing/>
              <w:rPr>
                <w:szCs w:val="21"/>
              </w:rPr>
            </w:pPr>
          </w:p>
        </w:tc>
        <w:tc>
          <w:tcPr>
            <w:tcW w:w="970" w:type="dxa"/>
            <w:vAlign w:val="center"/>
          </w:tcPr>
          <w:p w14:paraId="4D5040CB">
            <w:pPr>
              <w:snapToGrid w:val="0"/>
              <w:spacing w:line="400" w:lineRule="exact"/>
              <w:contextualSpacing/>
              <w:rPr>
                <w:szCs w:val="21"/>
              </w:rPr>
            </w:pPr>
          </w:p>
        </w:tc>
      </w:tr>
      <w:tr w14:paraId="1663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54" w:type="dxa"/>
            <w:vAlign w:val="center"/>
          </w:tcPr>
          <w:p w14:paraId="17C92F46">
            <w:pPr>
              <w:snapToGrid w:val="0"/>
              <w:spacing w:line="400" w:lineRule="exact"/>
              <w:contextualSpacing/>
            </w:pPr>
            <w:r>
              <w:rPr>
                <w:rFonts w:hint="eastAsia"/>
              </w:rPr>
              <w:t>投资限额</w:t>
            </w:r>
          </w:p>
        </w:tc>
        <w:tc>
          <w:tcPr>
            <w:tcW w:w="6496" w:type="dxa"/>
            <w:vAlign w:val="center"/>
          </w:tcPr>
          <w:p w14:paraId="1C2744F5">
            <w:pPr>
              <w:snapToGrid w:val="0"/>
              <w:spacing w:line="400" w:lineRule="exact"/>
              <w:contextualSpacing/>
            </w:pPr>
            <w:r>
              <w:rPr>
                <w:rFonts w:hint="eastAsia"/>
              </w:rPr>
              <w:t>单个项目单笔投资金额不超过子基金规模的10%，且单笔投资金额不超过500万元的投资累计不低于子基金规模的50%。投资期限内，子基金可对已投项目进行追加投资，子基金用于追加投资的金额不超过子基金规模的20%。</w:t>
            </w:r>
          </w:p>
        </w:tc>
        <w:tc>
          <w:tcPr>
            <w:tcW w:w="1134" w:type="dxa"/>
            <w:vAlign w:val="center"/>
          </w:tcPr>
          <w:p w14:paraId="298D2B25">
            <w:pPr>
              <w:keepNext/>
              <w:keepLines/>
              <w:snapToGrid w:val="0"/>
              <w:spacing w:before="260" w:after="260" w:line="400" w:lineRule="exact"/>
              <w:contextualSpacing/>
              <w:rPr>
                <w:szCs w:val="21"/>
              </w:rPr>
            </w:pPr>
          </w:p>
        </w:tc>
        <w:tc>
          <w:tcPr>
            <w:tcW w:w="970" w:type="dxa"/>
            <w:vAlign w:val="center"/>
          </w:tcPr>
          <w:p w14:paraId="27BCF080">
            <w:pPr>
              <w:keepNext/>
              <w:keepLines/>
              <w:snapToGrid w:val="0"/>
              <w:spacing w:before="260" w:after="260" w:line="400" w:lineRule="exact"/>
              <w:contextualSpacing/>
              <w:rPr>
                <w:szCs w:val="21"/>
              </w:rPr>
            </w:pPr>
          </w:p>
        </w:tc>
      </w:tr>
      <w:tr w14:paraId="4CC4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54" w:type="dxa"/>
            <w:vAlign w:val="center"/>
          </w:tcPr>
          <w:p w14:paraId="7680DE44">
            <w:pPr>
              <w:snapToGrid w:val="0"/>
              <w:spacing w:line="400" w:lineRule="exact"/>
              <w:contextualSpacing/>
            </w:pPr>
            <w:r>
              <w:rPr>
                <w:rFonts w:hint="eastAsia"/>
              </w:rPr>
              <w:t>投资领域</w:t>
            </w:r>
          </w:p>
        </w:tc>
        <w:tc>
          <w:tcPr>
            <w:tcW w:w="6496" w:type="dxa"/>
            <w:vAlign w:val="center"/>
          </w:tcPr>
          <w:p w14:paraId="48DBDB7A">
            <w:pPr>
              <w:snapToGrid w:val="0"/>
              <w:spacing w:line="400" w:lineRule="exact"/>
              <w:contextualSpacing/>
            </w:pPr>
            <w:r>
              <w:rPr>
                <w:rFonts w:hint="eastAsia"/>
              </w:rPr>
              <w:t>子基金应全部投向深圳战略性新兴产业和未来产业（以下简称“20+8”）的相关领域。</w:t>
            </w:r>
          </w:p>
        </w:tc>
        <w:tc>
          <w:tcPr>
            <w:tcW w:w="1134" w:type="dxa"/>
            <w:vAlign w:val="center"/>
          </w:tcPr>
          <w:p w14:paraId="357FAC11">
            <w:pPr>
              <w:keepNext/>
              <w:keepLines/>
              <w:snapToGrid w:val="0"/>
              <w:spacing w:before="260" w:after="260" w:line="400" w:lineRule="exact"/>
              <w:contextualSpacing/>
              <w:rPr>
                <w:szCs w:val="21"/>
              </w:rPr>
            </w:pPr>
          </w:p>
        </w:tc>
        <w:tc>
          <w:tcPr>
            <w:tcW w:w="970" w:type="dxa"/>
            <w:vAlign w:val="center"/>
          </w:tcPr>
          <w:p w14:paraId="7DF8CC5B">
            <w:pPr>
              <w:keepNext/>
              <w:keepLines/>
              <w:snapToGrid w:val="0"/>
              <w:spacing w:before="260" w:after="260" w:line="400" w:lineRule="exact"/>
              <w:contextualSpacing/>
              <w:rPr>
                <w:szCs w:val="21"/>
              </w:rPr>
            </w:pPr>
          </w:p>
        </w:tc>
      </w:tr>
      <w:tr w14:paraId="610F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1154" w:type="dxa"/>
            <w:vAlign w:val="center"/>
          </w:tcPr>
          <w:p w14:paraId="34996BB0">
            <w:pPr>
              <w:keepNext/>
              <w:keepLines/>
              <w:snapToGrid w:val="0"/>
              <w:spacing w:before="260" w:after="260" w:line="400" w:lineRule="exact"/>
              <w:contextualSpacing/>
              <w:jc w:val="center"/>
            </w:pPr>
            <w:r>
              <w:rPr>
                <w:rFonts w:hint="eastAsia"/>
              </w:rPr>
              <w:t>子基金管理机构或其关联方</w:t>
            </w:r>
          </w:p>
        </w:tc>
        <w:tc>
          <w:tcPr>
            <w:tcW w:w="6496" w:type="dxa"/>
            <w:vAlign w:val="center"/>
          </w:tcPr>
          <w:p w14:paraId="7CC51AF2">
            <w:pPr>
              <w:snapToGrid w:val="0"/>
              <w:spacing w:line="400" w:lineRule="exact"/>
              <w:contextualSpacing/>
              <w:rPr>
                <w:rFonts w:hint="eastAsia" w:ascii="宋体" w:hAnsi="宋体"/>
                <w:szCs w:val="21"/>
              </w:rPr>
            </w:pPr>
            <w:r>
              <w:rPr>
                <w:rFonts w:hint="eastAsia"/>
                <w:lang w:val="zh-TW" w:bidi="zh-TW"/>
              </w:rPr>
              <w:t>子基金管理机构及其关联方合计认缴出资比例原则上不低于基金目标规模的2%，其中子基金管理机构出资须不低于1%。</w:t>
            </w:r>
            <w:r>
              <w:rPr>
                <w:rFonts w:hint="eastAsia" w:ascii="宋体" w:hAnsi="宋体"/>
                <w:szCs w:val="21"/>
              </w:rPr>
              <w:t>允许多家机构合作设立含多个普通合伙人的基金，以多方共同组建的管理团队认定其投资能力，若各方为非关联方关系，则各方在子基金中作为普通合伙人出资皆不低于</w:t>
            </w:r>
            <w:r>
              <w:rPr>
                <w:rFonts w:ascii="宋体" w:hAnsi="宋体"/>
                <w:szCs w:val="21"/>
              </w:rPr>
              <w:t>2%</w:t>
            </w:r>
            <w:r>
              <w:rPr>
                <w:rFonts w:hint="eastAsia" w:ascii="宋体" w:hAnsi="宋体"/>
                <w:szCs w:val="21"/>
              </w:rPr>
              <w:t>。同时各方应当在申请种子基金出资前签订合作协议，明确各方的责权利关系。</w:t>
            </w:r>
          </w:p>
        </w:tc>
        <w:tc>
          <w:tcPr>
            <w:tcW w:w="1134" w:type="dxa"/>
            <w:vAlign w:val="center"/>
          </w:tcPr>
          <w:p w14:paraId="30A7B837">
            <w:pPr>
              <w:snapToGrid w:val="0"/>
              <w:spacing w:line="400" w:lineRule="exact"/>
              <w:contextualSpacing/>
              <w:rPr>
                <w:rFonts w:hint="eastAsia" w:ascii="宋体" w:hAnsi="宋体"/>
                <w:szCs w:val="21"/>
              </w:rPr>
            </w:pPr>
          </w:p>
        </w:tc>
        <w:tc>
          <w:tcPr>
            <w:tcW w:w="970" w:type="dxa"/>
            <w:vAlign w:val="center"/>
          </w:tcPr>
          <w:p w14:paraId="2D52EB07">
            <w:pPr>
              <w:snapToGrid w:val="0"/>
              <w:spacing w:line="400" w:lineRule="exact"/>
              <w:contextualSpacing/>
              <w:rPr>
                <w:rFonts w:hint="eastAsia" w:ascii="宋体" w:hAnsi="宋体"/>
                <w:szCs w:val="21"/>
              </w:rPr>
            </w:pPr>
          </w:p>
        </w:tc>
      </w:tr>
      <w:tr w14:paraId="26B1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54" w:type="dxa"/>
            <w:vAlign w:val="center"/>
          </w:tcPr>
          <w:p w14:paraId="1D1469C2">
            <w:pPr>
              <w:snapToGrid w:val="0"/>
              <w:spacing w:line="400" w:lineRule="exact"/>
              <w:contextualSpacing/>
            </w:pPr>
            <w:r>
              <w:rPr>
                <w:rFonts w:hint="eastAsia"/>
              </w:rPr>
              <w:t>后出资</w:t>
            </w:r>
          </w:p>
        </w:tc>
        <w:tc>
          <w:tcPr>
            <w:tcW w:w="6496" w:type="dxa"/>
            <w:vAlign w:val="center"/>
          </w:tcPr>
          <w:p w14:paraId="3329EDBA">
            <w:pPr>
              <w:snapToGrid w:val="0"/>
              <w:spacing w:line="400" w:lineRule="exact"/>
              <w:contextualSpacing/>
            </w:pPr>
            <w:r>
              <w:rPr>
                <w:rFonts w:hint="eastAsia" w:ascii="宋体" w:hAnsi="宋体"/>
                <w:szCs w:val="21"/>
              </w:rPr>
              <w:t>种子基金有权在其他出资人（政府引导基金除外）的当期出资款项总额全部实际到位后，由种子基金按程序同比例拨付至子基金账户。</w:t>
            </w:r>
          </w:p>
        </w:tc>
        <w:tc>
          <w:tcPr>
            <w:tcW w:w="1134" w:type="dxa"/>
            <w:vAlign w:val="center"/>
          </w:tcPr>
          <w:p w14:paraId="6A91BF86">
            <w:pPr>
              <w:keepNext/>
              <w:keepLines/>
              <w:snapToGrid w:val="0"/>
              <w:spacing w:before="260" w:after="260" w:line="400" w:lineRule="exact"/>
              <w:contextualSpacing/>
              <w:rPr>
                <w:rFonts w:hint="eastAsia" w:ascii="宋体" w:hAnsi="宋体"/>
                <w:szCs w:val="21"/>
              </w:rPr>
            </w:pPr>
          </w:p>
        </w:tc>
        <w:tc>
          <w:tcPr>
            <w:tcW w:w="970" w:type="dxa"/>
            <w:vAlign w:val="center"/>
          </w:tcPr>
          <w:p w14:paraId="746D7867">
            <w:pPr>
              <w:keepNext/>
              <w:keepLines/>
              <w:snapToGrid w:val="0"/>
              <w:spacing w:before="260" w:after="260" w:line="400" w:lineRule="exact"/>
              <w:contextualSpacing/>
              <w:rPr>
                <w:rFonts w:hint="eastAsia" w:ascii="宋体" w:hAnsi="宋体"/>
                <w:szCs w:val="21"/>
              </w:rPr>
            </w:pPr>
          </w:p>
        </w:tc>
      </w:tr>
      <w:tr w14:paraId="4087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3" w:hRule="atLeast"/>
          <w:jc w:val="center"/>
        </w:trPr>
        <w:tc>
          <w:tcPr>
            <w:tcW w:w="1154" w:type="dxa"/>
            <w:vAlign w:val="center"/>
          </w:tcPr>
          <w:p w14:paraId="70D46CA0">
            <w:pPr>
              <w:snapToGrid w:val="0"/>
              <w:spacing w:line="400" w:lineRule="exact"/>
              <w:contextualSpacing/>
            </w:pPr>
            <w:r>
              <w:rPr>
                <w:rFonts w:hint="eastAsia"/>
              </w:rPr>
              <w:t>管理费</w:t>
            </w:r>
          </w:p>
        </w:tc>
        <w:tc>
          <w:tcPr>
            <w:tcW w:w="6496" w:type="dxa"/>
            <w:vAlign w:val="center"/>
          </w:tcPr>
          <w:p w14:paraId="2058344E">
            <w:pPr>
              <w:snapToGrid w:val="0"/>
              <w:spacing w:line="400" w:lineRule="exact"/>
              <w:contextualSpacing/>
              <w:rPr>
                <w:rFonts w:hint="eastAsia" w:ascii="宋体" w:hAnsi="宋体"/>
                <w:szCs w:val="21"/>
              </w:rPr>
            </w:pPr>
            <w:r>
              <w:rPr>
                <w:rFonts w:hint="eastAsia"/>
              </w:rPr>
              <w:t>子基金管理机构管理费：投资期内（投资期不超过自子基金设立之日起的5年），每年按不超过子基金实缴金额扣除已收回本金后的2.5%收取；退出期内（退出期不超过投资期到期后的7年），每年按不超过已投未退金额的1.5%收取；延长期（延长期是指退出期到期后的基金剩余存续期限）不收取管理费。子基金管理机构存续期内所收取的管理费总额不得超过子基金实缴总规模的20%。子基金对种子基金收取管理费的标准不得高于其他出资人（子基金员工跟投出资平台除外）。子基金运营过程中发生的与投资项目相关的考察和尽调等费用均由子基金管理机构承担。</w:t>
            </w:r>
          </w:p>
        </w:tc>
        <w:tc>
          <w:tcPr>
            <w:tcW w:w="1134" w:type="dxa"/>
            <w:vAlign w:val="center"/>
          </w:tcPr>
          <w:p w14:paraId="72DB69AD">
            <w:pPr>
              <w:snapToGrid w:val="0"/>
              <w:spacing w:line="400" w:lineRule="exact"/>
              <w:contextualSpacing/>
              <w:rPr>
                <w:rFonts w:hint="eastAsia" w:ascii="宋体" w:hAnsi="宋体"/>
                <w:szCs w:val="21"/>
              </w:rPr>
            </w:pPr>
          </w:p>
        </w:tc>
        <w:tc>
          <w:tcPr>
            <w:tcW w:w="970" w:type="dxa"/>
            <w:vAlign w:val="center"/>
          </w:tcPr>
          <w:p w14:paraId="66720DC7">
            <w:pPr>
              <w:snapToGrid w:val="0"/>
              <w:spacing w:line="400" w:lineRule="exact"/>
              <w:contextualSpacing/>
              <w:rPr>
                <w:rFonts w:hint="eastAsia" w:ascii="宋体" w:hAnsi="宋体"/>
                <w:szCs w:val="21"/>
              </w:rPr>
            </w:pPr>
          </w:p>
        </w:tc>
      </w:tr>
      <w:tr w14:paraId="4190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atLeast"/>
          <w:jc w:val="center"/>
        </w:trPr>
        <w:tc>
          <w:tcPr>
            <w:tcW w:w="1154" w:type="dxa"/>
            <w:vAlign w:val="center"/>
          </w:tcPr>
          <w:p w14:paraId="27C37E0E">
            <w:pPr>
              <w:snapToGrid w:val="0"/>
              <w:spacing w:line="400" w:lineRule="exact"/>
              <w:contextualSpacing/>
            </w:pPr>
            <w:r>
              <w:rPr>
                <w:rFonts w:hint="eastAsia"/>
              </w:rPr>
              <w:t>收益分配</w:t>
            </w:r>
          </w:p>
        </w:tc>
        <w:tc>
          <w:tcPr>
            <w:tcW w:w="6496" w:type="dxa"/>
            <w:vAlign w:val="center"/>
          </w:tcPr>
          <w:p w14:paraId="11C7B615">
            <w:pPr>
              <w:snapToGrid w:val="0"/>
              <w:spacing w:line="400" w:lineRule="exact"/>
              <w:contextualSpacing/>
              <w:rPr>
                <w:rFonts w:hint="eastAsia" w:ascii="宋体" w:hAnsi="宋体"/>
                <w:szCs w:val="21"/>
              </w:rPr>
            </w:pPr>
            <w:r>
              <w:rPr>
                <w:rFonts w:hint="eastAsia" w:ascii="宋体" w:hAnsi="宋体"/>
                <w:szCs w:val="21"/>
              </w:rPr>
              <w:t>子基金从所投项目中的退出资金，按照“退出项目即退即分，基金整体先回本后分利”原则进行分配。子基金投资项目退出后，投资回收资金不得再用于对外投资，须90天内按合伙协议/公司章程/基金合同约定向投资人进行分配。当子基金整体实现退出时，子基金为有限合伙制的，应优先向有限合伙人按照实缴出资比例返还实缴出资金额，再向普通合伙人返还实缴出资金额。直至各出资人收回全部实缴出资，剩余的投资收益再按照子基金合伙协议等约定的方式予以分配；公司制/契约制基金按照公司章程/基金合同约定的方式向投资人进行分配。</w:t>
            </w:r>
          </w:p>
        </w:tc>
        <w:tc>
          <w:tcPr>
            <w:tcW w:w="1134" w:type="dxa"/>
            <w:vAlign w:val="center"/>
          </w:tcPr>
          <w:p w14:paraId="35A0F2AF">
            <w:pPr>
              <w:snapToGrid w:val="0"/>
              <w:spacing w:line="400" w:lineRule="exact"/>
              <w:contextualSpacing/>
              <w:rPr>
                <w:rFonts w:hint="eastAsia" w:ascii="宋体" w:hAnsi="宋体"/>
                <w:szCs w:val="21"/>
              </w:rPr>
            </w:pPr>
          </w:p>
        </w:tc>
        <w:tc>
          <w:tcPr>
            <w:tcW w:w="970" w:type="dxa"/>
            <w:vAlign w:val="center"/>
          </w:tcPr>
          <w:p w14:paraId="7A8B001B">
            <w:pPr>
              <w:snapToGrid w:val="0"/>
              <w:spacing w:line="400" w:lineRule="exact"/>
              <w:contextualSpacing/>
              <w:rPr>
                <w:rFonts w:hint="eastAsia" w:ascii="宋体" w:hAnsi="宋体"/>
                <w:szCs w:val="21"/>
              </w:rPr>
            </w:pPr>
          </w:p>
        </w:tc>
      </w:tr>
      <w:tr w14:paraId="0D8A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1154" w:type="dxa"/>
            <w:vMerge w:val="restart"/>
            <w:vAlign w:val="center"/>
          </w:tcPr>
          <w:p w14:paraId="5009AB50">
            <w:pPr>
              <w:snapToGrid w:val="0"/>
              <w:spacing w:line="400" w:lineRule="exact"/>
              <w:contextualSpacing/>
            </w:pPr>
            <w:r>
              <w:rPr>
                <w:rFonts w:hint="eastAsia"/>
              </w:rPr>
              <w:t>社会出资</w:t>
            </w:r>
          </w:p>
        </w:tc>
        <w:tc>
          <w:tcPr>
            <w:tcW w:w="6496" w:type="dxa"/>
            <w:vAlign w:val="center"/>
          </w:tcPr>
          <w:p w14:paraId="1DFE05B7">
            <w:pPr>
              <w:snapToGrid w:val="0"/>
              <w:spacing w:line="400" w:lineRule="exact"/>
              <w:contextualSpacing/>
            </w:pPr>
            <w:r>
              <w:rPr>
                <w:rFonts w:hint="eastAsia"/>
              </w:rPr>
              <w:t>子基金管理机构应根据相关法律法规、行业自律规定向合格投资者募集资金。以合伙企业、契约等非法人形式，通过汇集多数投资者的资金直接或者间接投资于子基金的，子基金管理机构应当穿透核查最终投资者是否为合格投资者，并合并计算投资者人数。子基金管理机构应当勤勉尽责，核实各出资人是否符合国家相关政策法规规定的合格投资者要求；种子基金申报方案由子基金申请机构负责提交。</w:t>
            </w:r>
          </w:p>
        </w:tc>
        <w:tc>
          <w:tcPr>
            <w:tcW w:w="1134" w:type="dxa"/>
            <w:vAlign w:val="center"/>
          </w:tcPr>
          <w:p w14:paraId="352DF54E">
            <w:pPr>
              <w:keepNext/>
              <w:keepLines/>
              <w:snapToGrid w:val="0"/>
              <w:spacing w:before="260" w:after="260" w:line="400" w:lineRule="exact"/>
              <w:contextualSpacing/>
              <w:rPr>
                <w:rFonts w:hint="eastAsia" w:ascii="宋体" w:hAnsi="宋体"/>
                <w:szCs w:val="21"/>
              </w:rPr>
            </w:pPr>
          </w:p>
        </w:tc>
        <w:tc>
          <w:tcPr>
            <w:tcW w:w="970" w:type="dxa"/>
            <w:vAlign w:val="center"/>
          </w:tcPr>
          <w:p w14:paraId="3F28712D">
            <w:pPr>
              <w:keepNext/>
              <w:keepLines/>
              <w:snapToGrid w:val="0"/>
              <w:spacing w:before="260" w:after="260" w:line="400" w:lineRule="exact"/>
              <w:contextualSpacing/>
              <w:rPr>
                <w:rFonts w:hint="eastAsia" w:ascii="宋体" w:hAnsi="宋体"/>
                <w:szCs w:val="21"/>
              </w:rPr>
            </w:pPr>
          </w:p>
        </w:tc>
      </w:tr>
      <w:tr w14:paraId="1D1D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1154" w:type="dxa"/>
            <w:vMerge w:val="continue"/>
            <w:vAlign w:val="center"/>
          </w:tcPr>
          <w:p w14:paraId="198B8426">
            <w:pPr>
              <w:snapToGrid w:val="0"/>
              <w:spacing w:line="400" w:lineRule="exact"/>
              <w:contextualSpacing/>
            </w:pPr>
          </w:p>
        </w:tc>
        <w:tc>
          <w:tcPr>
            <w:tcW w:w="6496" w:type="dxa"/>
            <w:vAlign w:val="center"/>
          </w:tcPr>
          <w:p w14:paraId="1859651F">
            <w:pPr>
              <w:snapToGrid w:val="0"/>
              <w:spacing w:line="400" w:lineRule="exact"/>
              <w:contextualSpacing/>
            </w:pPr>
            <w:r>
              <w:rPr>
                <w:rFonts w:hint="eastAsia"/>
              </w:rPr>
              <w:t>申请新设子基金的，在提交基金申报方案时，须至少已经募集到拟设立子基金总规模的</w:t>
            </w:r>
            <w:r>
              <w:t>2</w:t>
            </w:r>
            <w:r>
              <w:rPr>
                <w:rFonts w:hint="eastAsia"/>
              </w:rPr>
              <w:t>0%资金（不含种子基金、区引导基金出资部分），并提供拟出资人的出资承诺函、出资能力文件等材料（拟出资人为各级人民政府或其职能部门直接出资的政府投资基金除外，但应提供同等效力的材料）。</w:t>
            </w:r>
          </w:p>
        </w:tc>
        <w:tc>
          <w:tcPr>
            <w:tcW w:w="1134" w:type="dxa"/>
            <w:vAlign w:val="center"/>
          </w:tcPr>
          <w:p w14:paraId="38891C65">
            <w:pPr>
              <w:keepNext/>
              <w:keepLines/>
              <w:snapToGrid w:val="0"/>
              <w:spacing w:before="260" w:after="260" w:line="400" w:lineRule="exact"/>
              <w:contextualSpacing/>
              <w:rPr>
                <w:rFonts w:hint="eastAsia" w:ascii="宋体" w:hAnsi="宋体"/>
                <w:szCs w:val="21"/>
              </w:rPr>
            </w:pPr>
          </w:p>
        </w:tc>
        <w:tc>
          <w:tcPr>
            <w:tcW w:w="970" w:type="dxa"/>
            <w:vAlign w:val="center"/>
          </w:tcPr>
          <w:p w14:paraId="7F132920">
            <w:pPr>
              <w:keepNext/>
              <w:keepLines/>
              <w:snapToGrid w:val="0"/>
              <w:spacing w:before="260" w:after="260" w:line="400" w:lineRule="exact"/>
              <w:contextualSpacing/>
              <w:rPr>
                <w:rFonts w:hint="eastAsia" w:ascii="宋体" w:hAnsi="宋体"/>
                <w:szCs w:val="21"/>
              </w:rPr>
            </w:pPr>
          </w:p>
        </w:tc>
      </w:tr>
      <w:tr w14:paraId="2BB7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4" w:type="dxa"/>
            <w:gridSpan w:val="4"/>
            <w:vAlign w:val="center"/>
          </w:tcPr>
          <w:p w14:paraId="187716EF">
            <w:pPr>
              <w:snapToGrid w:val="0"/>
              <w:spacing w:line="400" w:lineRule="exact"/>
              <w:contextualSpacing/>
              <w:rPr>
                <w:rFonts w:hint="eastAsia" w:ascii="宋体" w:hAnsi="宋体"/>
                <w:szCs w:val="21"/>
              </w:rPr>
            </w:pPr>
            <w:r>
              <w:rPr>
                <w:rFonts w:ascii="宋体" w:hAnsi="宋体"/>
                <w:szCs w:val="21"/>
              </w:rPr>
              <w:t>二</w:t>
            </w:r>
            <w:r>
              <w:rPr>
                <w:rFonts w:hint="eastAsia" w:ascii="宋体" w:hAnsi="宋体"/>
                <w:szCs w:val="21"/>
              </w:rPr>
              <w:t>、</w:t>
            </w:r>
            <w:r>
              <w:rPr>
                <w:rFonts w:ascii="宋体" w:hAnsi="宋体"/>
                <w:szCs w:val="21"/>
              </w:rPr>
              <w:t>子基金管理机构应符合以下条件</w:t>
            </w:r>
            <w:r>
              <w:rPr>
                <w:rFonts w:hint="eastAsia" w:ascii="宋体" w:hAnsi="宋体"/>
                <w:szCs w:val="21"/>
              </w:rPr>
              <w:t>：</w:t>
            </w:r>
          </w:p>
        </w:tc>
      </w:tr>
      <w:tr w14:paraId="4BA5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54" w:type="dxa"/>
            <w:vMerge w:val="restart"/>
            <w:vAlign w:val="center"/>
          </w:tcPr>
          <w:p w14:paraId="3ADAAC77">
            <w:pPr>
              <w:snapToGrid w:val="0"/>
              <w:spacing w:line="400" w:lineRule="exact"/>
              <w:contextualSpacing/>
            </w:pPr>
            <w:r>
              <w:rPr>
                <w:rFonts w:hint="eastAsia"/>
              </w:rPr>
              <w:t>运营资质</w:t>
            </w:r>
          </w:p>
        </w:tc>
        <w:tc>
          <w:tcPr>
            <w:tcW w:w="6496" w:type="dxa"/>
            <w:vAlign w:val="center"/>
          </w:tcPr>
          <w:p w14:paraId="72171291">
            <w:pPr>
              <w:snapToGrid w:val="0"/>
              <w:spacing w:line="400" w:lineRule="exact"/>
              <w:contextualSpacing/>
            </w:pPr>
            <w:r>
              <w:rPr>
                <w:rFonts w:hint="eastAsia"/>
              </w:rPr>
              <w:t>依法设立，在深圳有固定营业场所，以及与其业务相适应的软硬件设施。</w:t>
            </w:r>
          </w:p>
        </w:tc>
        <w:tc>
          <w:tcPr>
            <w:tcW w:w="1134" w:type="dxa"/>
            <w:vAlign w:val="center"/>
          </w:tcPr>
          <w:p w14:paraId="7A302D7F">
            <w:pPr>
              <w:keepNext/>
              <w:keepLines/>
              <w:snapToGrid w:val="0"/>
              <w:spacing w:before="260" w:after="260" w:line="400" w:lineRule="exact"/>
              <w:contextualSpacing/>
              <w:rPr>
                <w:szCs w:val="21"/>
              </w:rPr>
            </w:pPr>
          </w:p>
        </w:tc>
        <w:tc>
          <w:tcPr>
            <w:tcW w:w="970" w:type="dxa"/>
            <w:vAlign w:val="center"/>
          </w:tcPr>
          <w:p w14:paraId="254E65D6">
            <w:pPr>
              <w:keepNext/>
              <w:keepLines/>
              <w:snapToGrid w:val="0"/>
              <w:spacing w:before="260" w:after="260" w:line="400" w:lineRule="exact"/>
              <w:contextualSpacing/>
              <w:rPr>
                <w:szCs w:val="21"/>
              </w:rPr>
            </w:pPr>
          </w:p>
        </w:tc>
      </w:tr>
      <w:tr w14:paraId="1292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54" w:type="dxa"/>
            <w:vMerge w:val="continue"/>
            <w:vAlign w:val="center"/>
          </w:tcPr>
          <w:p w14:paraId="46A94A15">
            <w:pPr>
              <w:snapToGrid w:val="0"/>
              <w:spacing w:line="400" w:lineRule="exact"/>
              <w:contextualSpacing/>
            </w:pPr>
          </w:p>
        </w:tc>
        <w:tc>
          <w:tcPr>
            <w:tcW w:w="6496" w:type="dxa"/>
            <w:vAlign w:val="center"/>
          </w:tcPr>
          <w:p w14:paraId="678BECEE">
            <w:pPr>
              <w:snapToGrid w:val="0"/>
              <w:spacing w:line="400" w:lineRule="exact"/>
              <w:contextualSpacing/>
            </w:pPr>
            <w:r>
              <w:rPr>
                <w:rFonts w:hint="eastAsia"/>
              </w:rPr>
              <w:t>子基金管理机构在与种子基金正式签订合伙协议/公司章程/基金合同前，实缴出资不低于</w:t>
            </w:r>
            <w:r>
              <w:t>1000</w:t>
            </w:r>
            <w:r>
              <w:rPr>
                <w:rFonts w:hint="eastAsia"/>
              </w:rPr>
              <w:t>万元人民币，并须在种子基金对子基金投资决策前取得私募股权投资基金管理人相关登记备案资质。</w:t>
            </w:r>
          </w:p>
        </w:tc>
        <w:tc>
          <w:tcPr>
            <w:tcW w:w="1134" w:type="dxa"/>
            <w:vAlign w:val="center"/>
          </w:tcPr>
          <w:p w14:paraId="7E0D567A">
            <w:pPr>
              <w:snapToGrid w:val="0"/>
              <w:spacing w:line="400" w:lineRule="exact"/>
              <w:contextualSpacing/>
              <w:rPr>
                <w:szCs w:val="21"/>
              </w:rPr>
            </w:pPr>
          </w:p>
        </w:tc>
        <w:tc>
          <w:tcPr>
            <w:tcW w:w="970" w:type="dxa"/>
            <w:vAlign w:val="center"/>
          </w:tcPr>
          <w:p w14:paraId="60BB755D">
            <w:pPr>
              <w:snapToGrid w:val="0"/>
              <w:spacing w:line="400" w:lineRule="exact"/>
              <w:contextualSpacing/>
              <w:rPr>
                <w:szCs w:val="21"/>
              </w:rPr>
            </w:pPr>
          </w:p>
        </w:tc>
      </w:tr>
      <w:tr w14:paraId="1E4A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54" w:type="dxa"/>
            <w:vMerge w:val="restart"/>
            <w:vAlign w:val="center"/>
          </w:tcPr>
          <w:p w14:paraId="126520DE">
            <w:pPr>
              <w:snapToGrid w:val="0"/>
              <w:spacing w:line="400" w:lineRule="exact"/>
              <w:contextualSpacing/>
            </w:pPr>
            <w:r>
              <w:rPr>
                <w:rFonts w:hint="eastAsia"/>
              </w:rPr>
              <w:t>管理团队</w:t>
            </w:r>
          </w:p>
        </w:tc>
        <w:tc>
          <w:tcPr>
            <w:tcW w:w="6496" w:type="dxa"/>
            <w:vAlign w:val="center"/>
          </w:tcPr>
          <w:p w14:paraId="4CAAA191">
            <w:pPr>
              <w:snapToGrid w:val="0"/>
              <w:spacing w:line="400" w:lineRule="exact"/>
              <w:contextualSpacing/>
              <w:rPr>
                <w:rFonts w:hint="eastAsia" w:ascii="宋体" w:hAnsi="宋体"/>
                <w:szCs w:val="21"/>
              </w:rPr>
            </w:pPr>
            <w:r>
              <w:rPr>
                <w:rFonts w:hint="eastAsia" w:ascii="宋体" w:hAnsi="宋体"/>
                <w:szCs w:val="21"/>
              </w:rPr>
              <w:t>子基金管理机构须在深圳设置固定的办公场所并配备专属且稳定的管理团队，子基金管理团队应当在子基金重点投资领域具有出色成功投资记录或者拥有长期产业工作经验，一般应至少有3名具备5年以上股权投资或相关工作经验的专职高级管理人员，且曾在同一公司共事3年以上时间；专职高级管理人员原则上包括与子基金管理机构（含其主要股东或控股子公司）签署劳动合同的法定代表人/执行事务合伙人（委派代表）、总经理、副总经理、合伙人、董事总经理、合规/风控负责人及其他核心团队成员；管理团队稳定。子基金管理机构及其高级管理人员在最近三年无重大过失，未有受过行政主管机关或司法机关有关处罚的影响基金正常运营的不良记录。</w:t>
            </w:r>
          </w:p>
        </w:tc>
        <w:tc>
          <w:tcPr>
            <w:tcW w:w="1134" w:type="dxa"/>
            <w:vAlign w:val="center"/>
          </w:tcPr>
          <w:p w14:paraId="49050500">
            <w:pPr>
              <w:snapToGrid w:val="0"/>
              <w:spacing w:line="400" w:lineRule="exact"/>
              <w:contextualSpacing/>
              <w:rPr>
                <w:szCs w:val="21"/>
              </w:rPr>
            </w:pPr>
          </w:p>
        </w:tc>
        <w:tc>
          <w:tcPr>
            <w:tcW w:w="970" w:type="dxa"/>
            <w:vAlign w:val="center"/>
          </w:tcPr>
          <w:p w14:paraId="609DBC39">
            <w:pPr>
              <w:snapToGrid w:val="0"/>
              <w:spacing w:line="400" w:lineRule="exact"/>
              <w:contextualSpacing/>
              <w:rPr>
                <w:szCs w:val="21"/>
              </w:rPr>
            </w:pPr>
          </w:p>
        </w:tc>
      </w:tr>
      <w:tr w14:paraId="5688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54" w:type="dxa"/>
            <w:vMerge w:val="continue"/>
            <w:vAlign w:val="center"/>
          </w:tcPr>
          <w:p w14:paraId="31F96151">
            <w:pPr>
              <w:snapToGrid w:val="0"/>
              <w:spacing w:line="400" w:lineRule="exact"/>
              <w:contextualSpacing/>
            </w:pPr>
          </w:p>
        </w:tc>
        <w:tc>
          <w:tcPr>
            <w:tcW w:w="6496" w:type="dxa"/>
            <w:vAlign w:val="center"/>
          </w:tcPr>
          <w:p w14:paraId="471738D7">
            <w:pPr>
              <w:snapToGrid w:val="0"/>
              <w:spacing w:line="400" w:lineRule="exact"/>
              <w:contextualSpacing/>
            </w:pPr>
            <w:r>
              <w:rPr>
                <w:rFonts w:hint="eastAsia"/>
              </w:rPr>
              <w:t>子基金合伙协议/公司章程/基金合同须对子基金管理团队（含子基金投委会委员）的核心人员进行锁定，被锁定人员如发生人员变动须经合伙人大会/股东（大）会/持有人大会等子基金相关权利机构表决通过。在子基金完成70%的投资进度之前，锁定的管理团队（含子基金投委会委员）核心人员不得参与相同阶段、领域和地域的基金，不得作为上述基金的关键人。</w:t>
            </w:r>
          </w:p>
        </w:tc>
        <w:tc>
          <w:tcPr>
            <w:tcW w:w="1134" w:type="dxa"/>
            <w:vAlign w:val="center"/>
          </w:tcPr>
          <w:p w14:paraId="60EC76D5">
            <w:pPr>
              <w:snapToGrid w:val="0"/>
              <w:spacing w:line="400" w:lineRule="exact"/>
              <w:contextualSpacing/>
              <w:rPr>
                <w:szCs w:val="21"/>
              </w:rPr>
            </w:pPr>
          </w:p>
        </w:tc>
        <w:tc>
          <w:tcPr>
            <w:tcW w:w="970" w:type="dxa"/>
            <w:vAlign w:val="center"/>
          </w:tcPr>
          <w:p w14:paraId="6A97A457">
            <w:pPr>
              <w:snapToGrid w:val="0"/>
              <w:spacing w:line="400" w:lineRule="exact"/>
              <w:contextualSpacing/>
              <w:rPr>
                <w:szCs w:val="21"/>
              </w:rPr>
            </w:pPr>
          </w:p>
        </w:tc>
      </w:tr>
      <w:tr w14:paraId="6B8E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54" w:type="dxa"/>
            <w:vMerge w:val="continue"/>
            <w:vAlign w:val="center"/>
          </w:tcPr>
          <w:p w14:paraId="4F4C4034">
            <w:pPr>
              <w:snapToGrid w:val="0"/>
              <w:spacing w:line="400" w:lineRule="exact"/>
              <w:contextualSpacing/>
            </w:pPr>
          </w:p>
        </w:tc>
        <w:tc>
          <w:tcPr>
            <w:tcW w:w="6496" w:type="dxa"/>
            <w:vAlign w:val="center"/>
          </w:tcPr>
          <w:p w14:paraId="3B47DEBC">
            <w:pPr>
              <w:snapToGrid w:val="0"/>
              <w:spacing w:line="400" w:lineRule="exact"/>
              <w:contextualSpacing/>
            </w:pPr>
            <w:r>
              <w:rPr>
                <w:rFonts w:hAnsi="PMingLiU" w:cs="仿宋_GB2312"/>
                <w:bCs/>
                <w:szCs w:val="32"/>
              </w:rPr>
              <w:t>子基金管理</w:t>
            </w:r>
            <w:r>
              <w:rPr>
                <w:rFonts w:hint="eastAsia" w:hAnsi="PMingLiU" w:cs="仿宋_GB2312"/>
                <w:bCs/>
                <w:szCs w:val="32"/>
              </w:rPr>
              <w:t>团队应当具备较强的投后赋能能力，包括但不限于为已投项目提供创业辅导、管理咨询、市场开拓等增值服务，与产业界上下游密切合作推动已投项目完成中小试，为已投项目招聘具有丰富企业运营经验的全职高级管理人员，为已投项目组建一支有经验的外部科学顾问或产业顾问团队，必要时可以派出人员兼任已投项目的高级管理人员。子基金管理机构应当提供曾经帮助过已投项目成功对外融资、市场推广或客户对接的说明材料。</w:t>
            </w:r>
          </w:p>
        </w:tc>
        <w:tc>
          <w:tcPr>
            <w:tcW w:w="1134" w:type="dxa"/>
            <w:vAlign w:val="center"/>
          </w:tcPr>
          <w:p w14:paraId="4F38B5F3">
            <w:pPr>
              <w:keepNext/>
              <w:keepLines/>
              <w:snapToGrid w:val="0"/>
              <w:spacing w:before="260" w:after="260" w:line="400" w:lineRule="exact"/>
              <w:contextualSpacing/>
              <w:rPr>
                <w:szCs w:val="21"/>
              </w:rPr>
            </w:pPr>
          </w:p>
        </w:tc>
        <w:tc>
          <w:tcPr>
            <w:tcW w:w="970" w:type="dxa"/>
            <w:vAlign w:val="center"/>
          </w:tcPr>
          <w:p w14:paraId="4DA91B72">
            <w:pPr>
              <w:keepNext/>
              <w:keepLines/>
              <w:snapToGrid w:val="0"/>
              <w:spacing w:before="260" w:after="260" w:line="400" w:lineRule="exact"/>
              <w:contextualSpacing/>
              <w:rPr>
                <w:szCs w:val="21"/>
              </w:rPr>
            </w:pPr>
          </w:p>
        </w:tc>
      </w:tr>
      <w:tr w14:paraId="6F86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54" w:type="dxa"/>
            <w:vMerge w:val="continue"/>
            <w:vAlign w:val="center"/>
          </w:tcPr>
          <w:p w14:paraId="5DA9FAD8">
            <w:pPr>
              <w:keepNext/>
              <w:keepLines/>
              <w:snapToGrid w:val="0"/>
              <w:spacing w:before="260" w:after="260" w:line="400" w:lineRule="exact"/>
              <w:contextualSpacing/>
            </w:pPr>
          </w:p>
        </w:tc>
        <w:tc>
          <w:tcPr>
            <w:tcW w:w="6496" w:type="dxa"/>
            <w:vAlign w:val="center"/>
          </w:tcPr>
          <w:p w14:paraId="5D0921AF">
            <w:pPr>
              <w:snapToGrid w:val="0"/>
              <w:spacing w:line="400" w:lineRule="exact"/>
              <w:contextualSpacing/>
            </w:pPr>
            <w:r>
              <w:rPr>
                <w:rFonts w:hint="eastAsia"/>
              </w:rPr>
              <w:t>管理机构核心团队及高级管理人员无犯罪记录。</w:t>
            </w:r>
          </w:p>
        </w:tc>
        <w:tc>
          <w:tcPr>
            <w:tcW w:w="1134" w:type="dxa"/>
            <w:vAlign w:val="center"/>
          </w:tcPr>
          <w:p w14:paraId="425E2206">
            <w:pPr>
              <w:keepNext/>
              <w:keepLines/>
              <w:snapToGrid w:val="0"/>
              <w:spacing w:before="260" w:after="260" w:line="400" w:lineRule="exact"/>
              <w:contextualSpacing/>
              <w:rPr>
                <w:szCs w:val="21"/>
              </w:rPr>
            </w:pPr>
          </w:p>
        </w:tc>
        <w:tc>
          <w:tcPr>
            <w:tcW w:w="970" w:type="dxa"/>
            <w:vAlign w:val="center"/>
          </w:tcPr>
          <w:p w14:paraId="304C05CA">
            <w:pPr>
              <w:keepNext/>
              <w:keepLines/>
              <w:snapToGrid w:val="0"/>
              <w:spacing w:before="260" w:after="260" w:line="400" w:lineRule="exact"/>
              <w:contextualSpacing/>
              <w:rPr>
                <w:szCs w:val="21"/>
              </w:rPr>
            </w:pPr>
          </w:p>
        </w:tc>
      </w:tr>
      <w:tr w14:paraId="44C5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54" w:type="dxa"/>
            <w:vAlign w:val="center"/>
          </w:tcPr>
          <w:p w14:paraId="2541FD53">
            <w:pPr>
              <w:snapToGrid w:val="0"/>
              <w:spacing w:line="400" w:lineRule="exact"/>
              <w:contextualSpacing/>
            </w:pPr>
            <w:r>
              <w:rPr>
                <w:rFonts w:hint="eastAsia"/>
              </w:rPr>
              <w:t>投资能力</w:t>
            </w:r>
          </w:p>
        </w:tc>
        <w:tc>
          <w:tcPr>
            <w:tcW w:w="6496" w:type="dxa"/>
            <w:vAlign w:val="center"/>
          </w:tcPr>
          <w:p w14:paraId="6FA00F06">
            <w:pPr>
              <w:snapToGrid w:val="0"/>
              <w:spacing w:line="400" w:lineRule="exact"/>
              <w:contextualSpacing/>
            </w:pPr>
            <w:r>
              <w:rPr>
                <w:rFonts w:hint="eastAsia"/>
              </w:rPr>
              <w:t>子基金管理机构须至少满足下列条件之一：</w:t>
            </w:r>
          </w:p>
          <w:p w14:paraId="6A6D4A05">
            <w:pPr>
              <w:snapToGrid w:val="0"/>
              <w:spacing w:line="400" w:lineRule="exact"/>
              <w:contextualSpacing/>
            </w:pPr>
            <w:r>
              <w:rPr>
                <w:rFonts w:hint="eastAsia"/>
              </w:rPr>
              <w:t>（1）子基金管理机构（含其主要股东或控股子公司）最近3年受托管理的基金总额或者管理团队核心成员参与管理的已实缴投资的项目资金总额不低于2亿元。子基金管理团队核心成员至少累计主导过3个（含）股权投资成功案例。</w:t>
            </w:r>
          </w:p>
          <w:p w14:paraId="32BB3FCB">
            <w:pPr>
              <w:snapToGrid w:val="0"/>
              <w:spacing w:line="400" w:lineRule="exact"/>
              <w:contextualSpacing/>
            </w:pPr>
            <w:r>
              <w:rPr>
                <w:rFonts w:hint="eastAsia"/>
              </w:rPr>
              <w:t>（2）子基金管理机构（含其主要股东、实际控制人或控股子公司）为国内外知名高等院校、科研院所、重点实验室等技术源头单位或国际知名技术转移机构等科技成果转化机构的，该单位最近5年内科技成果转化项目或技术转移项目融资总金额累计不低于1亿元人民币（或等值货币）。</w:t>
            </w:r>
          </w:p>
          <w:p w14:paraId="72CE2300">
            <w:pPr>
              <w:snapToGrid w:val="0"/>
              <w:spacing w:line="400" w:lineRule="exact"/>
              <w:contextualSpacing/>
            </w:pPr>
            <w:r>
              <w:rPr>
                <w:rFonts w:hint="eastAsia"/>
              </w:rPr>
              <w:t>（3）子基金管理机构（含其主要股东、实际控制人或控股子公司）为国家/省/市级科技企业孵化器等协助科技成果转化单位的，最近5年内与该单位签订含有融资服务条款协议的企业在签订协议后获得的投资金额累计不低于1亿元人民币（或等值货币）。</w:t>
            </w:r>
            <w:bookmarkStart w:id="12" w:name="OLE_LINK17"/>
            <w:bookmarkStart w:id="13" w:name="OLE_LINK20"/>
          </w:p>
          <w:p w14:paraId="6C6E08F9">
            <w:pPr>
              <w:snapToGrid w:val="0"/>
              <w:spacing w:line="400" w:lineRule="exact"/>
              <w:contextualSpacing/>
              <w:rPr>
                <w:rFonts w:hint="eastAsia" w:hAnsi="仿宋_GB2312"/>
                <w:bCs/>
                <w:kern w:val="0"/>
                <w:szCs w:val="32"/>
              </w:rPr>
            </w:pPr>
            <w:r>
              <w:rPr>
                <w:rFonts w:hint="eastAsia" w:hAnsi="仿宋_GB2312"/>
                <w:bCs/>
                <w:kern w:val="0"/>
                <w:szCs w:val="32"/>
              </w:rPr>
              <w:t>为落实好深圳市政府和主管部门的产业发展战略，管理公司可向子基金管理机构提出其他附加条件。</w:t>
            </w:r>
            <w:bookmarkEnd w:id="12"/>
            <w:bookmarkEnd w:id="13"/>
          </w:p>
        </w:tc>
        <w:tc>
          <w:tcPr>
            <w:tcW w:w="1134" w:type="dxa"/>
            <w:vAlign w:val="center"/>
          </w:tcPr>
          <w:p w14:paraId="545B24E1">
            <w:pPr>
              <w:snapToGrid w:val="0"/>
              <w:spacing w:line="400" w:lineRule="exact"/>
              <w:contextualSpacing/>
              <w:rPr>
                <w:szCs w:val="21"/>
              </w:rPr>
            </w:pPr>
          </w:p>
        </w:tc>
        <w:tc>
          <w:tcPr>
            <w:tcW w:w="970" w:type="dxa"/>
            <w:vAlign w:val="center"/>
          </w:tcPr>
          <w:p w14:paraId="47A29F48">
            <w:pPr>
              <w:snapToGrid w:val="0"/>
              <w:spacing w:line="400" w:lineRule="exact"/>
              <w:contextualSpacing/>
              <w:rPr>
                <w:szCs w:val="21"/>
              </w:rPr>
            </w:pPr>
          </w:p>
        </w:tc>
      </w:tr>
      <w:tr w14:paraId="6452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54" w:type="dxa"/>
            <w:vMerge w:val="restart"/>
            <w:vAlign w:val="center"/>
          </w:tcPr>
          <w:p w14:paraId="67181342">
            <w:pPr>
              <w:snapToGrid w:val="0"/>
              <w:spacing w:line="400" w:lineRule="exact"/>
              <w:contextualSpacing/>
            </w:pPr>
            <w:r>
              <w:rPr>
                <w:rFonts w:hint="eastAsia"/>
              </w:rPr>
              <w:t>管理机制</w:t>
            </w:r>
          </w:p>
        </w:tc>
        <w:tc>
          <w:tcPr>
            <w:tcW w:w="6496" w:type="dxa"/>
            <w:vAlign w:val="center"/>
          </w:tcPr>
          <w:p w14:paraId="21A7C676">
            <w:pPr>
              <w:snapToGrid w:val="0"/>
              <w:spacing w:line="400" w:lineRule="exact"/>
              <w:contextualSpacing/>
            </w:pPr>
            <w:r>
              <w:rPr>
                <w:rFonts w:hint="eastAsia"/>
              </w:rPr>
              <w:t>子基金管理机构应具有完善的风险控制流程及健全的内部财务管理制度。</w:t>
            </w:r>
          </w:p>
        </w:tc>
        <w:tc>
          <w:tcPr>
            <w:tcW w:w="1134" w:type="dxa"/>
            <w:vAlign w:val="center"/>
          </w:tcPr>
          <w:p w14:paraId="3C755D88">
            <w:pPr>
              <w:snapToGrid w:val="0"/>
              <w:spacing w:line="400" w:lineRule="exact"/>
              <w:contextualSpacing/>
              <w:rPr>
                <w:szCs w:val="21"/>
              </w:rPr>
            </w:pPr>
          </w:p>
        </w:tc>
        <w:tc>
          <w:tcPr>
            <w:tcW w:w="970" w:type="dxa"/>
            <w:vAlign w:val="center"/>
          </w:tcPr>
          <w:p w14:paraId="7D91FAE0">
            <w:pPr>
              <w:snapToGrid w:val="0"/>
              <w:spacing w:line="400" w:lineRule="exact"/>
              <w:contextualSpacing/>
              <w:rPr>
                <w:szCs w:val="21"/>
              </w:rPr>
            </w:pPr>
          </w:p>
        </w:tc>
      </w:tr>
      <w:tr w14:paraId="68C2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1154" w:type="dxa"/>
            <w:vMerge w:val="continue"/>
            <w:vAlign w:val="center"/>
          </w:tcPr>
          <w:p w14:paraId="483BB115">
            <w:pPr>
              <w:snapToGrid w:val="0"/>
              <w:spacing w:line="400" w:lineRule="exact"/>
              <w:contextualSpacing/>
            </w:pPr>
          </w:p>
        </w:tc>
        <w:tc>
          <w:tcPr>
            <w:tcW w:w="6496" w:type="dxa"/>
            <w:vAlign w:val="center"/>
          </w:tcPr>
          <w:p w14:paraId="35053F5B">
            <w:pPr>
              <w:snapToGrid w:val="0"/>
              <w:spacing w:line="400" w:lineRule="exact"/>
              <w:contextualSpacing/>
            </w:pPr>
            <w:r>
              <w:rPr>
                <w:rFonts w:hint="eastAsia"/>
              </w:rPr>
              <w:t>子基金管理机构应当围绕种子孵化目标建立相匹配的项目遴选、立项和投决机制，包括广泛邀请相关领域的学术界和产业界的专家为项目立项或者投资决策提供建议。子基金管理机构应当在申请资料中提供相关的制度说明。</w:t>
            </w:r>
          </w:p>
        </w:tc>
        <w:tc>
          <w:tcPr>
            <w:tcW w:w="1134" w:type="dxa"/>
            <w:vAlign w:val="center"/>
          </w:tcPr>
          <w:p w14:paraId="255C5FE6">
            <w:pPr>
              <w:snapToGrid w:val="0"/>
              <w:spacing w:line="400" w:lineRule="exact"/>
              <w:contextualSpacing/>
              <w:rPr>
                <w:szCs w:val="21"/>
              </w:rPr>
            </w:pPr>
          </w:p>
        </w:tc>
        <w:tc>
          <w:tcPr>
            <w:tcW w:w="970" w:type="dxa"/>
            <w:vAlign w:val="center"/>
          </w:tcPr>
          <w:p w14:paraId="63D7CC3A">
            <w:pPr>
              <w:snapToGrid w:val="0"/>
              <w:spacing w:line="400" w:lineRule="exact"/>
              <w:contextualSpacing/>
              <w:rPr>
                <w:szCs w:val="21"/>
              </w:rPr>
            </w:pPr>
          </w:p>
        </w:tc>
      </w:tr>
      <w:tr w14:paraId="351C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154" w:type="dxa"/>
            <w:vMerge w:val="continue"/>
            <w:vAlign w:val="center"/>
          </w:tcPr>
          <w:p w14:paraId="0E78CB18">
            <w:pPr>
              <w:snapToGrid w:val="0"/>
              <w:spacing w:line="400" w:lineRule="exact"/>
              <w:contextualSpacing/>
            </w:pPr>
          </w:p>
        </w:tc>
        <w:tc>
          <w:tcPr>
            <w:tcW w:w="6496" w:type="dxa"/>
            <w:vAlign w:val="center"/>
          </w:tcPr>
          <w:p w14:paraId="4B142379">
            <w:pPr>
              <w:snapToGrid w:val="0"/>
              <w:spacing w:line="400" w:lineRule="exact"/>
              <w:contextualSpacing/>
            </w:pPr>
            <w:r>
              <w:rPr>
                <w:rFonts w:hint="eastAsia"/>
              </w:rPr>
              <w:t>子基金管理机构应当具备子基金重点投资领域的产业研究能力。提交申请时，须结合深圳市产业情况，提交子基金重点投资领域的产业研究报告，分析该领域国内技术短板、产业卡脖子问题以及深圳产业链相关情况，并对该产业前沿技术的发展方向和趋势进行研究分析。</w:t>
            </w:r>
          </w:p>
        </w:tc>
        <w:tc>
          <w:tcPr>
            <w:tcW w:w="1134" w:type="dxa"/>
            <w:vAlign w:val="center"/>
          </w:tcPr>
          <w:p w14:paraId="5EA1A4EF">
            <w:pPr>
              <w:snapToGrid w:val="0"/>
              <w:spacing w:line="400" w:lineRule="exact"/>
              <w:contextualSpacing/>
              <w:rPr>
                <w:szCs w:val="21"/>
              </w:rPr>
            </w:pPr>
          </w:p>
        </w:tc>
        <w:tc>
          <w:tcPr>
            <w:tcW w:w="970" w:type="dxa"/>
            <w:vAlign w:val="center"/>
          </w:tcPr>
          <w:p w14:paraId="7A4145B4">
            <w:pPr>
              <w:snapToGrid w:val="0"/>
              <w:spacing w:line="400" w:lineRule="exact"/>
              <w:contextualSpacing/>
              <w:rPr>
                <w:szCs w:val="21"/>
              </w:rPr>
            </w:pPr>
          </w:p>
        </w:tc>
      </w:tr>
      <w:tr w14:paraId="570C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1154" w:type="dxa"/>
            <w:vMerge w:val="continue"/>
            <w:vAlign w:val="center"/>
          </w:tcPr>
          <w:p w14:paraId="0F032413">
            <w:pPr>
              <w:snapToGrid w:val="0"/>
              <w:spacing w:line="400" w:lineRule="exact"/>
              <w:contextualSpacing/>
            </w:pPr>
          </w:p>
        </w:tc>
        <w:tc>
          <w:tcPr>
            <w:tcW w:w="6496" w:type="dxa"/>
            <w:vAlign w:val="center"/>
          </w:tcPr>
          <w:p w14:paraId="068BB7FC">
            <w:pPr>
              <w:snapToGrid w:val="0"/>
              <w:spacing w:line="400" w:lineRule="exact"/>
              <w:contextualSpacing/>
            </w:pPr>
            <w:r>
              <w:rPr>
                <w:rFonts w:hint="eastAsia"/>
              </w:rPr>
              <w:t>子基金的发起设立、投资管理、业绩奖励等按照市场化方式独立运作，自主经营，自负盈亏。管理公司有权向子基金派出代表，监督子基金的投资和运作，但不参与子基金的日常管理。管理公司对子基金违反合伙协议/公司章程/基金合同、《深圳市科技创新种子基金申报指南及遴选办法》及国家相关规定的投资项目，享有一票否决权。</w:t>
            </w:r>
          </w:p>
        </w:tc>
        <w:tc>
          <w:tcPr>
            <w:tcW w:w="1134" w:type="dxa"/>
            <w:vAlign w:val="center"/>
          </w:tcPr>
          <w:p w14:paraId="391DF22C">
            <w:pPr>
              <w:snapToGrid w:val="0"/>
              <w:spacing w:line="400" w:lineRule="exact"/>
              <w:contextualSpacing/>
              <w:rPr>
                <w:szCs w:val="21"/>
              </w:rPr>
            </w:pPr>
          </w:p>
        </w:tc>
        <w:tc>
          <w:tcPr>
            <w:tcW w:w="970" w:type="dxa"/>
            <w:vAlign w:val="center"/>
          </w:tcPr>
          <w:p w14:paraId="4CE06198">
            <w:pPr>
              <w:snapToGrid w:val="0"/>
              <w:spacing w:line="400" w:lineRule="exact"/>
              <w:contextualSpacing/>
              <w:rPr>
                <w:szCs w:val="21"/>
              </w:rPr>
            </w:pPr>
          </w:p>
        </w:tc>
      </w:tr>
      <w:tr w14:paraId="5634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154" w:type="dxa"/>
            <w:vAlign w:val="center"/>
          </w:tcPr>
          <w:p w14:paraId="22624620">
            <w:pPr>
              <w:snapToGrid w:val="0"/>
              <w:spacing w:line="400" w:lineRule="exact"/>
              <w:contextualSpacing/>
            </w:pPr>
            <w:r>
              <w:rPr>
                <w:rFonts w:hint="eastAsia"/>
              </w:rPr>
              <w:t>信息披露</w:t>
            </w:r>
          </w:p>
        </w:tc>
        <w:tc>
          <w:tcPr>
            <w:tcW w:w="6496" w:type="dxa"/>
            <w:vAlign w:val="center"/>
          </w:tcPr>
          <w:p w14:paraId="2F28FE56">
            <w:pPr>
              <w:snapToGrid w:val="0"/>
              <w:spacing w:line="400" w:lineRule="exact"/>
              <w:contextualSpacing/>
            </w:pPr>
            <w:r>
              <w:rPr>
                <w:rFonts w:hint="eastAsia"/>
              </w:rPr>
              <w:t>子基金管理机构应当建立子基金重大事项披露制度。子基金须定期向管理公司及出资人提交子基金运营报告、经审计的子基金财务报告和银行托管报告等，管理公司视工作需要有权委托专业机构对子基金进行审计。</w:t>
            </w:r>
          </w:p>
        </w:tc>
        <w:tc>
          <w:tcPr>
            <w:tcW w:w="1134" w:type="dxa"/>
            <w:vAlign w:val="center"/>
          </w:tcPr>
          <w:p w14:paraId="52B1F25F">
            <w:pPr>
              <w:snapToGrid w:val="0"/>
              <w:spacing w:line="400" w:lineRule="exact"/>
              <w:contextualSpacing/>
              <w:rPr>
                <w:szCs w:val="21"/>
              </w:rPr>
            </w:pPr>
          </w:p>
        </w:tc>
        <w:tc>
          <w:tcPr>
            <w:tcW w:w="970" w:type="dxa"/>
            <w:vAlign w:val="center"/>
          </w:tcPr>
          <w:p w14:paraId="0FAC0B25">
            <w:pPr>
              <w:snapToGrid w:val="0"/>
              <w:spacing w:line="400" w:lineRule="exact"/>
              <w:contextualSpacing/>
              <w:rPr>
                <w:szCs w:val="21"/>
              </w:rPr>
            </w:pPr>
          </w:p>
        </w:tc>
      </w:tr>
      <w:tr w14:paraId="06F9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54" w:type="dxa"/>
            <w:vMerge w:val="restart"/>
            <w:vAlign w:val="center"/>
          </w:tcPr>
          <w:p w14:paraId="2CE4D5CB">
            <w:pPr>
              <w:snapToGrid w:val="0"/>
              <w:spacing w:line="400" w:lineRule="exact"/>
              <w:contextualSpacing/>
              <w:jc w:val="center"/>
            </w:pPr>
            <w:r>
              <w:rPr>
                <w:rFonts w:hint="eastAsia"/>
              </w:rPr>
              <w:t>专注度</w:t>
            </w:r>
          </w:p>
          <w:p w14:paraId="61EAAA8E">
            <w:pPr>
              <w:snapToGrid w:val="0"/>
              <w:spacing w:line="400" w:lineRule="exact"/>
              <w:contextualSpacing/>
              <w:jc w:val="center"/>
            </w:pPr>
            <w:r>
              <w:rPr>
                <w:rFonts w:hint="eastAsia"/>
              </w:rPr>
              <w:t>要求</w:t>
            </w:r>
          </w:p>
        </w:tc>
        <w:tc>
          <w:tcPr>
            <w:tcW w:w="6496" w:type="dxa"/>
            <w:vAlign w:val="center"/>
          </w:tcPr>
          <w:p w14:paraId="029DF350">
            <w:pPr>
              <w:snapToGrid w:val="0"/>
              <w:spacing w:line="400" w:lineRule="exact"/>
              <w:contextualSpacing/>
            </w:pPr>
            <w:r>
              <w:rPr>
                <w:rFonts w:hint="eastAsia"/>
              </w:rPr>
              <w:t>子基金合伙协议/公司章程/基金合同须对子基金管理团队（含子基金投委会委员）的核心人员进行锁定，被锁定人员如发生人员变动须经合伙人大会/股东（大）会/持有人大会等子基金相关权利机构表决通过。在子基金完成70%的投资进度之前，锁定的管理团队（含子基金投委会委员）核心人员不得参与相同阶段、领域和地域的基金，不得作为上述基金的关键人。</w:t>
            </w:r>
          </w:p>
        </w:tc>
        <w:tc>
          <w:tcPr>
            <w:tcW w:w="1134" w:type="dxa"/>
            <w:vMerge w:val="restart"/>
            <w:vAlign w:val="center"/>
          </w:tcPr>
          <w:p w14:paraId="008C02DB">
            <w:pPr>
              <w:keepNext/>
              <w:keepLines/>
              <w:snapToGrid w:val="0"/>
              <w:spacing w:before="260" w:after="260" w:line="400" w:lineRule="exact"/>
              <w:contextualSpacing/>
              <w:rPr>
                <w:szCs w:val="21"/>
              </w:rPr>
            </w:pPr>
          </w:p>
        </w:tc>
        <w:tc>
          <w:tcPr>
            <w:tcW w:w="970" w:type="dxa"/>
            <w:vMerge w:val="restart"/>
            <w:vAlign w:val="center"/>
          </w:tcPr>
          <w:p w14:paraId="16564748">
            <w:pPr>
              <w:keepNext/>
              <w:keepLines/>
              <w:snapToGrid w:val="0"/>
              <w:spacing w:before="260" w:after="260" w:line="400" w:lineRule="exact"/>
              <w:contextualSpacing/>
              <w:rPr>
                <w:szCs w:val="21"/>
              </w:rPr>
            </w:pPr>
          </w:p>
        </w:tc>
      </w:tr>
      <w:tr w14:paraId="0CB4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154" w:type="dxa"/>
            <w:vMerge w:val="continue"/>
            <w:vAlign w:val="center"/>
          </w:tcPr>
          <w:p w14:paraId="26806EB9">
            <w:pPr>
              <w:keepNext/>
              <w:keepLines/>
              <w:snapToGrid w:val="0"/>
              <w:spacing w:before="260" w:after="260" w:line="400" w:lineRule="exact"/>
              <w:contextualSpacing/>
            </w:pPr>
          </w:p>
        </w:tc>
        <w:tc>
          <w:tcPr>
            <w:tcW w:w="6496" w:type="dxa"/>
            <w:vAlign w:val="center"/>
          </w:tcPr>
          <w:p w14:paraId="28247CBE">
            <w:pPr>
              <w:snapToGrid w:val="0"/>
              <w:spacing w:line="400" w:lineRule="exact"/>
              <w:contextualSpacing/>
              <w:rPr>
                <w:rFonts w:hint="eastAsia" w:ascii="宋体" w:hAnsi="宋体"/>
                <w:szCs w:val="21"/>
              </w:rPr>
            </w:pPr>
            <w:r>
              <w:rPr>
                <w:rFonts w:hint="eastAsia"/>
              </w:rPr>
              <w:t>子基金须投向极早期初创企业、追加投资的项目或符合条件的尚未实体运作项目</w:t>
            </w:r>
            <w:r>
              <w:rPr>
                <w:rFonts w:hint="eastAsia" w:ascii="宋体" w:hAnsi="宋体"/>
                <w:szCs w:val="21"/>
              </w:rPr>
              <w:t>。</w:t>
            </w:r>
          </w:p>
        </w:tc>
        <w:tc>
          <w:tcPr>
            <w:tcW w:w="1134" w:type="dxa"/>
            <w:vMerge w:val="continue"/>
            <w:vAlign w:val="center"/>
          </w:tcPr>
          <w:p w14:paraId="1AD2404B">
            <w:pPr>
              <w:snapToGrid w:val="0"/>
              <w:spacing w:line="400" w:lineRule="exact"/>
              <w:contextualSpacing/>
              <w:rPr>
                <w:szCs w:val="21"/>
              </w:rPr>
            </w:pPr>
          </w:p>
        </w:tc>
        <w:tc>
          <w:tcPr>
            <w:tcW w:w="970" w:type="dxa"/>
            <w:vMerge w:val="continue"/>
            <w:vAlign w:val="center"/>
          </w:tcPr>
          <w:p w14:paraId="0EF94ABA">
            <w:pPr>
              <w:snapToGrid w:val="0"/>
              <w:spacing w:line="400" w:lineRule="exact"/>
              <w:contextualSpacing/>
              <w:rPr>
                <w:szCs w:val="21"/>
              </w:rPr>
            </w:pPr>
          </w:p>
        </w:tc>
      </w:tr>
      <w:tr w14:paraId="2CB5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154" w:type="dxa"/>
            <w:vAlign w:val="center"/>
          </w:tcPr>
          <w:p w14:paraId="00ECEB31">
            <w:pPr>
              <w:snapToGrid w:val="0"/>
              <w:spacing w:line="400" w:lineRule="exact"/>
              <w:contextualSpacing/>
            </w:pPr>
            <w:r>
              <w:rPr>
                <w:rFonts w:hint="eastAsia"/>
              </w:rPr>
              <w:t>强制清算及退出权</w:t>
            </w:r>
          </w:p>
        </w:tc>
        <w:tc>
          <w:tcPr>
            <w:tcW w:w="6496" w:type="dxa"/>
            <w:vAlign w:val="center"/>
          </w:tcPr>
          <w:p w14:paraId="1C076D93">
            <w:pPr>
              <w:snapToGrid w:val="0"/>
              <w:spacing w:line="400" w:lineRule="exact"/>
              <w:contextualSpacing/>
              <w:rPr>
                <w:rFonts w:hint="eastAsia" w:ascii="宋体" w:hAnsi="宋体"/>
                <w:szCs w:val="21"/>
              </w:rPr>
            </w:pPr>
            <w:r>
              <w:rPr>
                <w:rFonts w:hint="eastAsia" w:ascii="宋体" w:hAnsi="宋体"/>
                <w:szCs w:val="21"/>
              </w:rPr>
              <w:t>接受种子基金强制清算及退出权，并按照《深圳市科技创新种子基金申报指南</w:t>
            </w:r>
            <w:r>
              <w:rPr>
                <w:rFonts w:ascii="宋体" w:hAnsi="宋体"/>
                <w:szCs w:val="21"/>
              </w:rPr>
              <w:t>及</w:t>
            </w:r>
            <w:r>
              <w:rPr>
                <w:rFonts w:hint="eastAsia" w:ascii="宋体" w:hAnsi="宋体"/>
                <w:szCs w:val="21"/>
              </w:rPr>
              <w:t>遴选办法》的规定执行。</w:t>
            </w:r>
          </w:p>
        </w:tc>
        <w:tc>
          <w:tcPr>
            <w:tcW w:w="1134" w:type="dxa"/>
            <w:vAlign w:val="center"/>
          </w:tcPr>
          <w:p w14:paraId="640371C6">
            <w:pPr>
              <w:keepNext/>
              <w:keepLines/>
              <w:snapToGrid w:val="0"/>
              <w:spacing w:before="260" w:after="260" w:line="400" w:lineRule="exact"/>
              <w:contextualSpacing/>
              <w:rPr>
                <w:szCs w:val="21"/>
              </w:rPr>
            </w:pPr>
          </w:p>
        </w:tc>
        <w:tc>
          <w:tcPr>
            <w:tcW w:w="970" w:type="dxa"/>
            <w:vAlign w:val="center"/>
          </w:tcPr>
          <w:p w14:paraId="7330A84F">
            <w:pPr>
              <w:keepNext/>
              <w:keepLines/>
              <w:snapToGrid w:val="0"/>
              <w:spacing w:before="260" w:after="260" w:line="400" w:lineRule="exact"/>
              <w:contextualSpacing/>
              <w:rPr>
                <w:szCs w:val="21"/>
              </w:rPr>
            </w:pPr>
          </w:p>
        </w:tc>
      </w:tr>
      <w:tr w14:paraId="14BE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154" w:type="dxa"/>
            <w:vAlign w:val="center"/>
          </w:tcPr>
          <w:p w14:paraId="5563960D">
            <w:pPr>
              <w:snapToGrid w:val="0"/>
              <w:spacing w:line="400" w:lineRule="exact"/>
              <w:contextualSpacing/>
            </w:pPr>
            <w:r>
              <w:rPr>
                <w:rFonts w:hint="eastAsia"/>
              </w:rPr>
              <w:t>政策目标</w:t>
            </w:r>
          </w:p>
        </w:tc>
        <w:tc>
          <w:tcPr>
            <w:tcW w:w="6496" w:type="dxa"/>
            <w:vAlign w:val="center"/>
          </w:tcPr>
          <w:p w14:paraId="258F428D">
            <w:pPr>
              <w:snapToGrid w:val="0"/>
              <w:spacing w:line="400" w:lineRule="exact"/>
              <w:contextualSpacing/>
              <w:rPr>
                <w:rFonts w:hint="eastAsia" w:ascii="宋体" w:hAnsi="宋体"/>
                <w:szCs w:val="21"/>
              </w:rPr>
            </w:pPr>
            <w:r>
              <w:rPr>
                <w:rFonts w:hint="eastAsia" w:ascii="宋体" w:hAnsi="宋体"/>
                <w:szCs w:val="21"/>
              </w:rPr>
              <w:t>种子基金应设置对深圳市产业贡献的具体指标，后续可在运行过程中结合实际情况适时调整，包括但不限于以下：</w:t>
            </w:r>
          </w:p>
          <w:p w14:paraId="03F8E242">
            <w:pPr>
              <w:snapToGrid w:val="0"/>
              <w:spacing w:line="400" w:lineRule="exact"/>
              <w:contextualSpacing/>
              <w:rPr>
                <w:rFonts w:hint="eastAsia" w:ascii="宋体" w:hAnsi="宋体"/>
                <w:szCs w:val="21"/>
              </w:rPr>
            </w:pPr>
            <w:r>
              <w:rPr>
                <w:rFonts w:hint="eastAsia" w:ascii="宋体" w:hAnsi="宋体"/>
                <w:szCs w:val="21"/>
              </w:rPr>
              <w:t>（一）两个必选政策目标：</w:t>
            </w:r>
          </w:p>
          <w:p w14:paraId="2288190B">
            <w:pPr>
              <w:snapToGrid w:val="0"/>
              <w:spacing w:line="400" w:lineRule="exact"/>
              <w:contextualSpacing/>
              <w:rPr>
                <w:rFonts w:hint="eastAsia" w:ascii="宋体" w:hAnsi="宋体"/>
                <w:szCs w:val="21"/>
              </w:rPr>
            </w:pPr>
            <w:r>
              <w:rPr>
                <w:rFonts w:ascii="宋体" w:hAnsi="宋体"/>
                <w:szCs w:val="21"/>
              </w:rPr>
              <w:t>1.</w:t>
            </w:r>
            <w:r>
              <w:rPr>
                <w:rFonts w:hint="eastAsia" w:ascii="宋体" w:hAnsi="宋体"/>
                <w:szCs w:val="21"/>
              </w:rPr>
              <w:t>子基金所投项目所对应金额，获得外部二轮融资所占比例不得低于</w:t>
            </w:r>
            <w:r>
              <w:rPr>
                <w:rFonts w:ascii="宋体" w:hAnsi="宋体"/>
                <w:szCs w:val="21"/>
              </w:rPr>
              <w:t>30%</w:t>
            </w:r>
            <w:r>
              <w:rPr>
                <w:rFonts w:hint="eastAsia" w:ascii="宋体" w:hAnsi="宋体"/>
                <w:szCs w:val="21"/>
              </w:rPr>
              <w:t>，获得外部三轮融资所占比例不得低于</w:t>
            </w:r>
            <w:r>
              <w:rPr>
                <w:rFonts w:ascii="宋体" w:hAnsi="宋体"/>
                <w:szCs w:val="21"/>
              </w:rPr>
              <w:t>15%</w:t>
            </w:r>
            <w:r>
              <w:rPr>
                <w:rFonts w:hint="eastAsia" w:ascii="宋体" w:hAnsi="宋体"/>
                <w:szCs w:val="21"/>
              </w:rPr>
              <w:t>；</w:t>
            </w:r>
          </w:p>
          <w:p w14:paraId="491FF3E1">
            <w:pPr>
              <w:snapToGrid w:val="0"/>
              <w:spacing w:line="400" w:lineRule="exact"/>
              <w:contextualSpacing/>
              <w:rPr>
                <w:rFonts w:hint="eastAsia" w:ascii="宋体" w:hAnsi="宋体"/>
                <w:szCs w:val="21"/>
              </w:rPr>
            </w:pPr>
            <w:r>
              <w:rPr>
                <w:rFonts w:ascii="宋体" w:hAnsi="宋体"/>
                <w:szCs w:val="21"/>
              </w:rPr>
              <w:t>2.</w:t>
            </w:r>
            <w:r>
              <w:rPr>
                <w:rFonts w:hint="eastAsia" w:ascii="宋体" w:hAnsi="宋体"/>
                <w:szCs w:val="21"/>
              </w:rPr>
              <w:t>投资领域：子基金需集中选定深圳市“20+8”产业领域中的两个至三个战略性新兴产业和未来产业方向，集中选定深圳市“20+8”产业领域中的两个战略性新兴产业和未来产业方向的子基金，累计投资金额不低于基金实缴规模的50%，或者选定三个战略性新兴产业和未来产业方向的子基金，累计投资金额不低于基金实缴规模的70%。</w:t>
            </w:r>
          </w:p>
          <w:p w14:paraId="69DBE204">
            <w:pPr>
              <w:snapToGrid w:val="0"/>
              <w:spacing w:line="400" w:lineRule="exact"/>
              <w:contextualSpacing/>
              <w:rPr>
                <w:rFonts w:hint="eastAsia" w:ascii="宋体" w:hAnsi="宋体"/>
                <w:szCs w:val="21"/>
              </w:rPr>
            </w:pPr>
            <w:r>
              <w:rPr>
                <w:rFonts w:hint="eastAsia" w:ascii="宋体" w:hAnsi="宋体"/>
                <w:szCs w:val="21"/>
              </w:rPr>
              <w:t>（二）五选三政策目标：</w:t>
            </w:r>
          </w:p>
          <w:p w14:paraId="337AA725">
            <w:pPr>
              <w:snapToGrid w:val="0"/>
              <w:spacing w:line="400" w:lineRule="exact"/>
              <w:contextualSpacing/>
              <w:rPr>
                <w:rFonts w:hint="eastAsia" w:ascii="宋体" w:hAnsi="宋体"/>
                <w:szCs w:val="21"/>
              </w:rPr>
            </w:pPr>
            <w:r>
              <w:rPr>
                <w:rFonts w:ascii="宋体" w:hAnsi="宋体"/>
                <w:szCs w:val="21"/>
              </w:rPr>
              <w:t>1.</w:t>
            </w:r>
            <w:r>
              <w:rPr>
                <w:rFonts w:hint="eastAsia" w:ascii="宋体" w:hAnsi="宋体"/>
                <w:szCs w:val="21"/>
              </w:rPr>
              <w:t>子基金存续期内培育或孵化专精特新中小企业不得少于</w:t>
            </w:r>
            <w:r>
              <w:rPr>
                <w:rFonts w:ascii="宋体" w:hAnsi="宋体"/>
                <w:szCs w:val="21"/>
              </w:rPr>
              <w:t>3</w:t>
            </w:r>
            <w:r>
              <w:rPr>
                <w:rFonts w:hint="eastAsia" w:ascii="宋体" w:hAnsi="宋体"/>
                <w:szCs w:val="21"/>
              </w:rPr>
              <w:t>个，或专精特新“小巨人”企业不得少于</w:t>
            </w:r>
            <w:r>
              <w:rPr>
                <w:rFonts w:ascii="宋体" w:hAnsi="宋体"/>
                <w:szCs w:val="21"/>
              </w:rPr>
              <w:t>1</w:t>
            </w:r>
            <w:r>
              <w:rPr>
                <w:rFonts w:hint="eastAsia" w:ascii="宋体" w:hAnsi="宋体"/>
                <w:szCs w:val="21"/>
              </w:rPr>
              <w:t>个；</w:t>
            </w:r>
          </w:p>
          <w:p w14:paraId="036AFB4E">
            <w:pPr>
              <w:snapToGrid w:val="0"/>
              <w:spacing w:line="400" w:lineRule="exact"/>
              <w:contextualSpacing/>
              <w:rPr>
                <w:rFonts w:hint="eastAsia" w:ascii="宋体" w:hAnsi="宋体"/>
                <w:szCs w:val="21"/>
              </w:rPr>
            </w:pPr>
            <w:r>
              <w:rPr>
                <w:rFonts w:ascii="宋体" w:hAnsi="宋体"/>
                <w:szCs w:val="21"/>
              </w:rPr>
              <w:t>2.</w:t>
            </w:r>
            <w:r>
              <w:rPr>
                <w:rFonts w:hint="eastAsia" w:ascii="宋体" w:hAnsi="宋体"/>
                <w:szCs w:val="21"/>
              </w:rPr>
              <w:t>子基金所投项目在深圳的纳税金额，累计不低于种子基金在该子基金的出资金额；</w:t>
            </w:r>
          </w:p>
          <w:p w14:paraId="3A37900A">
            <w:pPr>
              <w:snapToGrid w:val="0"/>
              <w:spacing w:line="400" w:lineRule="exact"/>
              <w:contextualSpacing/>
              <w:rPr>
                <w:rFonts w:hint="eastAsia" w:ascii="宋体" w:hAnsi="宋体"/>
                <w:szCs w:val="21"/>
              </w:rPr>
            </w:pPr>
            <w:r>
              <w:rPr>
                <w:rFonts w:ascii="宋体" w:hAnsi="宋体"/>
                <w:szCs w:val="21"/>
              </w:rPr>
              <w:t>3.</w:t>
            </w:r>
            <w:r>
              <w:rPr>
                <w:rFonts w:hint="eastAsia" w:ascii="宋体" w:hAnsi="宋体"/>
                <w:szCs w:val="21"/>
              </w:rPr>
              <w:t>子基金所投项目在获得子基金投资后，在深圳主体累计新增获得授权的专利数量不得低于</w:t>
            </w:r>
            <w:r>
              <w:rPr>
                <w:rFonts w:ascii="宋体" w:hAnsi="宋体"/>
                <w:szCs w:val="21"/>
              </w:rPr>
              <w:t>20</w:t>
            </w:r>
            <w:r>
              <w:rPr>
                <w:rFonts w:hint="eastAsia" w:ascii="宋体" w:hAnsi="宋体"/>
                <w:szCs w:val="21"/>
              </w:rPr>
              <w:t>个；</w:t>
            </w:r>
          </w:p>
          <w:p w14:paraId="009DAC06">
            <w:pPr>
              <w:snapToGrid w:val="0"/>
              <w:spacing w:line="400" w:lineRule="exact"/>
              <w:contextualSpacing/>
              <w:rPr>
                <w:rFonts w:hint="eastAsia" w:ascii="宋体" w:hAnsi="宋体"/>
                <w:szCs w:val="21"/>
              </w:rPr>
            </w:pPr>
            <w:r>
              <w:rPr>
                <w:rFonts w:ascii="宋体" w:hAnsi="宋体"/>
                <w:szCs w:val="21"/>
              </w:rPr>
              <w:t>4.</w:t>
            </w:r>
            <w:r>
              <w:rPr>
                <w:rFonts w:hint="eastAsia" w:ascii="宋体" w:hAnsi="宋体"/>
                <w:szCs w:val="21"/>
              </w:rPr>
              <w:t>子基金所投项目中，被评定为国家级高新技术企业对应至子基金所投项目的金额，不得低于所投项目总金额的</w:t>
            </w:r>
            <w:r>
              <w:rPr>
                <w:rFonts w:ascii="宋体" w:hAnsi="宋体"/>
                <w:szCs w:val="21"/>
              </w:rPr>
              <w:t>50%</w:t>
            </w:r>
            <w:r>
              <w:rPr>
                <w:rFonts w:hint="eastAsia" w:ascii="宋体" w:hAnsi="宋体"/>
                <w:szCs w:val="21"/>
              </w:rPr>
              <w:t>；</w:t>
            </w:r>
          </w:p>
          <w:p w14:paraId="3BDD143B">
            <w:pPr>
              <w:snapToGrid w:val="0"/>
              <w:spacing w:line="400" w:lineRule="exact"/>
              <w:contextualSpacing/>
              <w:rPr>
                <w:rFonts w:hint="eastAsia" w:ascii="宋体" w:hAnsi="宋体"/>
                <w:szCs w:val="21"/>
              </w:rPr>
            </w:pPr>
            <w:r>
              <w:rPr>
                <w:rFonts w:ascii="宋体" w:hAnsi="宋体"/>
                <w:szCs w:val="21"/>
              </w:rPr>
              <w:t>5.</w:t>
            </w:r>
            <w:r>
              <w:rPr>
                <w:rFonts w:hint="eastAsia" w:ascii="宋体" w:hAnsi="宋体"/>
                <w:szCs w:val="21"/>
              </w:rPr>
              <w:t>子基金对种子项目库的项目投资金额，不得低于子基金实缴规模的</w:t>
            </w:r>
            <w:r>
              <w:rPr>
                <w:rFonts w:ascii="宋体" w:hAnsi="宋体"/>
                <w:szCs w:val="21"/>
              </w:rPr>
              <w:t>10%</w:t>
            </w:r>
            <w:r>
              <w:rPr>
                <w:rFonts w:hint="eastAsia" w:ascii="宋体" w:hAnsi="宋体"/>
                <w:szCs w:val="21"/>
              </w:rPr>
              <w:t>。</w:t>
            </w:r>
          </w:p>
          <w:p w14:paraId="7D2B5B57">
            <w:pPr>
              <w:pStyle w:val="2"/>
              <w:snapToGrid w:val="0"/>
              <w:spacing w:line="400" w:lineRule="exact"/>
              <w:contextualSpacing/>
              <w:jc w:val="left"/>
              <w:rPr>
                <w:rFonts w:hint="eastAsia" w:ascii="宋体" w:hAnsi="宋体"/>
                <w:szCs w:val="21"/>
              </w:rPr>
            </w:pPr>
            <w:r>
              <w:rPr>
                <w:rFonts w:hint="eastAsia" w:ascii="宋体" w:hAnsi="宋体" w:eastAsia="宋体" w:cs="Times New Roman"/>
                <w:sz w:val="21"/>
                <w:szCs w:val="21"/>
              </w:rPr>
              <w:t>上述政策目标的实现情况将在种子基金自子基金退出时纳入子基金最终整体评价指标，管理公司将依据子基金绩效评价相关制度对评价结果进行应用。</w:t>
            </w:r>
          </w:p>
        </w:tc>
        <w:tc>
          <w:tcPr>
            <w:tcW w:w="1134" w:type="dxa"/>
            <w:vAlign w:val="center"/>
          </w:tcPr>
          <w:p w14:paraId="035C160A">
            <w:pPr>
              <w:keepNext/>
              <w:keepLines/>
              <w:snapToGrid w:val="0"/>
              <w:spacing w:before="260" w:after="260" w:line="400" w:lineRule="exact"/>
              <w:contextualSpacing/>
              <w:rPr>
                <w:szCs w:val="21"/>
              </w:rPr>
            </w:pPr>
          </w:p>
        </w:tc>
        <w:tc>
          <w:tcPr>
            <w:tcW w:w="970" w:type="dxa"/>
            <w:vAlign w:val="center"/>
          </w:tcPr>
          <w:p w14:paraId="7EC633CD">
            <w:pPr>
              <w:keepNext/>
              <w:keepLines/>
              <w:snapToGrid w:val="0"/>
              <w:spacing w:before="260" w:after="260" w:line="400" w:lineRule="exact"/>
              <w:contextualSpacing/>
              <w:rPr>
                <w:szCs w:val="21"/>
              </w:rPr>
            </w:pPr>
          </w:p>
        </w:tc>
      </w:tr>
      <w:tr w14:paraId="2570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54" w:type="dxa"/>
            <w:gridSpan w:val="4"/>
            <w:vAlign w:val="center"/>
          </w:tcPr>
          <w:p w14:paraId="1959CF43">
            <w:pPr>
              <w:keepNext/>
              <w:keepLines/>
              <w:snapToGrid w:val="0"/>
              <w:spacing w:before="260" w:after="260" w:line="400" w:lineRule="exact"/>
              <w:contextualSpacing/>
            </w:pPr>
            <w:r>
              <w:rPr>
                <w:rFonts w:hint="eastAsia"/>
              </w:rPr>
              <w:t>三、子基金投资限制</w:t>
            </w:r>
          </w:p>
        </w:tc>
      </w:tr>
      <w:tr w14:paraId="3125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54" w:type="dxa"/>
            <w:vMerge w:val="restart"/>
            <w:vAlign w:val="center"/>
          </w:tcPr>
          <w:p w14:paraId="77D09F3C">
            <w:pPr>
              <w:keepNext/>
              <w:keepLines/>
              <w:snapToGrid w:val="0"/>
              <w:spacing w:before="260" w:after="260" w:line="400" w:lineRule="exact"/>
              <w:contextualSpacing/>
            </w:pPr>
            <w:r>
              <w:rPr>
                <w:rFonts w:hint="eastAsia"/>
              </w:rPr>
              <w:t>子基金不得从事业务</w:t>
            </w:r>
          </w:p>
        </w:tc>
        <w:tc>
          <w:tcPr>
            <w:tcW w:w="6496" w:type="dxa"/>
            <w:vAlign w:val="center"/>
          </w:tcPr>
          <w:p w14:paraId="1979B3D1">
            <w:pPr>
              <w:snapToGrid w:val="0"/>
              <w:spacing w:line="400" w:lineRule="exact"/>
              <w:contextualSpacing/>
            </w:pPr>
            <w:r>
              <w:rPr>
                <w:rFonts w:hint="eastAsia"/>
              </w:rPr>
              <w:t>担保、抵押、委托贷款等业务。</w:t>
            </w:r>
          </w:p>
        </w:tc>
        <w:tc>
          <w:tcPr>
            <w:tcW w:w="1134" w:type="dxa"/>
            <w:vMerge w:val="restart"/>
            <w:vAlign w:val="center"/>
          </w:tcPr>
          <w:p w14:paraId="6CF40581">
            <w:pPr>
              <w:keepNext/>
              <w:keepLines/>
              <w:snapToGrid w:val="0"/>
              <w:spacing w:before="260" w:after="260" w:line="400" w:lineRule="exact"/>
              <w:contextualSpacing/>
            </w:pPr>
          </w:p>
        </w:tc>
        <w:tc>
          <w:tcPr>
            <w:tcW w:w="970" w:type="dxa"/>
            <w:vMerge w:val="restart"/>
            <w:vAlign w:val="center"/>
          </w:tcPr>
          <w:p w14:paraId="688428FC">
            <w:pPr>
              <w:keepNext/>
              <w:keepLines/>
              <w:snapToGrid w:val="0"/>
              <w:spacing w:before="260" w:after="260" w:line="400" w:lineRule="exact"/>
              <w:contextualSpacing/>
            </w:pPr>
          </w:p>
        </w:tc>
      </w:tr>
      <w:tr w14:paraId="51B9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54" w:type="dxa"/>
            <w:vMerge w:val="continue"/>
            <w:vAlign w:val="center"/>
          </w:tcPr>
          <w:p w14:paraId="7E1FDEB2">
            <w:pPr>
              <w:keepNext/>
              <w:keepLines/>
              <w:snapToGrid w:val="0"/>
              <w:spacing w:before="260" w:after="260" w:line="400" w:lineRule="exact"/>
              <w:contextualSpacing/>
            </w:pPr>
          </w:p>
        </w:tc>
        <w:tc>
          <w:tcPr>
            <w:tcW w:w="6496" w:type="dxa"/>
            <w:vAlign w:val="center"/>
          </w:tcPr>
          <w:p w14:paraId="27AF4DA0">
            <w:pPr>
              <w:snapToGrid w:val="0"/>
              <w:spacing w:line="400" w:lineRule="exact"/>
              <w:contextualSpacing/>
            </w:pPr>
            <w:r>
              <w:rPr>
                <w:rFonts w:hint="eastAsia"/>
              </w:rPr>
              <w:t>投资高风险资产，包括二级市场股票、期货、房地产、评级AAA以下的企业债等；投资非本金安全型金融产品，包括信托计划、证券投资基金、保险计划及其他金融衍生品等。</w:t>
            </w:r>
          </w:p>
        </w:tc>
        <w:tc>
          <w:tcPr>
            <w:tcW w:w="1134" w:type="dxa"/>
            <w:vMerge w:val="continue"/>
            <w:vAlign w:val="center"/>
          </w:tcPr>
          <w:p w14:paraId="0B41A974">
            <w:pPr>
              <w:keepNext/>
              <w:keepLines/>
              <w:snapToGrid w:val="0"/>
              <w:spacing w:before="260" w:after="260" w:line="400" w:lineRule="exact"/>
              <w:contextualSpacing/>
            </w:pPr>
          </w:p>
        </w:tc>
        <w:tc>
          <w:tcPr>
            <w:tcW w:w="970" w:type="dxa"/>
            <w:vMerge w:val="continue"/>
            <w:vAlign w:val="center"/>
          </w:tcPr>
          <w:p w14:paraId="710E6EB3">
            <w:pPr>
              <w:keepNext/>
              <w:keepLines/>
              <w:snapToGrid w:val="0"/>
              <w:spacing w:before="260" w:after="260" w:line="400" w:lineRule="exact"/>
              <w:contextualSpacing/>
            </w:pPr>
          </w:p>
        </w:tc>
      </w:tr>
      <w:tr w14:paraId="2AB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154" w:type="dxa"/>
            <w:vMerge w:val="continue"/>
            <w:vAlign w:val="center"/>
          </w:tcPr>
          <w:p w14:paraId="5EDFB463">
            <w:pPr>
              <w:keepNext/>
              <w:keepLines/>
              <w:snapToGrid w:val="0"/>
              <w:spacing w:before="260" w:after="260" w:line="400" w:lineRule="exact"/>
              <w:contextualSpacing/>
            </w:pPr>
          </w:p>
        </w:tc>
        <w:tc>
          <w:tcPr>
            <w:tcW w:w="6496" w:type="dxa"/>
            <w:vAlign w:val="center"/>
          </w:tcPr>
          <w:p w14:paraId="47182051">
            <w:pPr>
              <w:snapToGrid w:val="0"/>
              <w:spacing w:line="400" w:lineRule="exact"/>
              <w:contextualSpacing/>
            </w:pPr>
            <w:r>
              <w:rPr>
                <w:rFonts w:hint="eastAsia"/>
              </w:rPr>
              <w:t>向任何第三方提供赞助、捐赠（经批准的公益性捐赠除外）。</w:t>
            </w:r>
          </w:p>
        </w:tc>
        <w:tc>
          <w:tcPr>
            <w:tcW w:w="1134" w:type="dxa"/>
            <w:vAlign w:val="center"/>
          </w:tcPr>
          <w:p w14:paraId="039CA1EA">
            <w:pPr>
              <w:keepNext/>
              <w:keepLines/>
              <w:snapToGrid w:val="0"/>
              <w:spacing w:before="260" w:after="260" w:line="400" w:lineRule="exact"/>
              <w:contextualSpacing/>
            </w:pPr>
          </w:p>
        </w:tc>
        <w:tc>
          <w:tcPr>
            <w:tcW w:w="970" w:type="dxa"/>
            <w:vAlign w:val="center"/>
          </w:tcPr>
          <w:p w14:paraId="2AFC435C">
            <w:pPr>
              <w:keepNext/>
              <w:keepLines/>
              <w:snapToGrid w:val="0"/>
              <w:spacing w:before="260" w:after="260" w:line="400" w:lineRule="exact"/>
              <w:contextualSpacing/>
            </w:pPr>
          </w:p>
        </w:tc>
      </w:tr>
      <w:tr w14:paraId="2E1C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154" w:type="dxa"/>
            <w:vMerge w:val="continue"/>
            <w:vAlign w:val="center"/>
          </w:tcPr>
          <w:p w14:paraId="5EA0DA80">
            <w:pPr>
              <w:keepNext/>
              <w:keepLines/>
              <w:snapToGrid w:val="0"/>
              <w:spacing w:before="260" w:after="260" w:line="400" w:lineRule="exact"/>
              <w:contextualSpacing/>
            </w:pPr>
          </w:p>
        </w:tc>
        <w:tc>
          <w:tcPr>
            <w:tcW w:w="6496" w:type="dxa"/>
            <w:vAlign w:val="center"/>
          </w:tcPr>
          <w:p w14:paraId="5BEB3817">
            <w:pPr>
              <w:snapToGrid w:val="0"/>
              <w:spacing w:line="400" w:lineRule="exact"/>
              <w:contextualSpacing/>
            </w:pPr>
            <w:r>
              <w:rPr>
                <w:rFonts w:hint="eastAsia"/>
              </w:rPr>
              <w:t>吸收或变相吸收存款，或向第三方提供贷款和资金拆借（以股权投资为目的可转债除外，但不得从事明股实债）。</w:t>
            </w:r>
          </w:p>
        </w:tc>
        <w:tc>
          <w:tcPr>
            <w:tcW w:w="1134" w:type="dxa"/>
            <w:vAlign w:val="center"/>
          </w:tcPr>
          <w:p w14:paraId="69D3B128">
            <w:pPr>
              <w:keepNext/>
              <w:keepLines/>
              <w:snapToGrid w:val="0"/>
              <w:spacing w:before="260" w:after="260" w:line="400" w:lineRule="exact"/>
              <w:contextualSpacing/>
            </w:pPr>
          </w:p>
        </w:tc>
        <w:tc>
          <w:tcPr>
            <w:tcW w:w="970" w:type="dxa"/>
            <w:vAlign w:val="center"/>
          </w:tcPr>
          <w:p w14:paraId="79402D76">
            <w:pPr>
              <w:keepNext/>
              <w:keepLines/>
              <w:snapToGrid w:val="0"/>
              <w:spacing w:before="260" w:after="260" w:line="400" w:lineRule="exact"/>
              <w:contextualSpacing/>
            </w:pPr>
          </w:p>
        </w:tc>
      </w:tr>
      <w:tr w14:paraId="39D4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54" w:type="dxa"/>
            <w:vMerge w:val="continue"/>
            <w:vAlign w:val="center"/>
          </w:tcPr>
          <w:p w14:paraId="275EB3CF">
            <w:pPr>
              <w:keepNext/>
              <w:keepLines/>
              <w:snapToGrid w:val="0"/>
              <w:spacing w:before="260" w:after="260" w:line="400" w:lineRule="exact"/>
              <w:contextualSpacing/>
            </w:pPr>
          </w:p>
        </w:tc>
        <w:tc>
          <w:tcPr>
            <w:tcW w:w="6496" w:type="dxa"/>
            <w:vAlign w:val="center"/>
          </w:tcPr>
          <w:p w14:paraId="7724C418">
            <w:pPr>
              <w:snapToGrid w:val="0"/>
              <w:spacing w:line="400" w:lineRule="exact"/>
              <w:contextualSpacing/>
            </w:pPr>
            <w:r>
              <w:rPr>
                <w:rFonts w:hint="eastAsia"/>
              </w:rPr>
              <w:t>进行承担无限连带责任的对外投资。</w:t>
            </w:r>
          </w:p>
        </w:tc>
        <w:tc>
          <w:tcPr>
            <w:tcW w:w="1134" w:type="dxa"/>
            <w:vMerge w:val="restart"/>
            <w:vAlign w:val="center"/>
          </w:tcPr>
          <w:p w14:paraId="5883B9E3">
            <w:pPr>
              <w:keepNext/>
              <w:keepLines/>
              <w:snapToGrid w:val="0"/>
              <w:spacing w:before="260" w:after="260" w:line="400" w:lineRule="exact"/>
              <w:contextualSpacing/>
            </w:pPr>
          </w:p>
        </w:tc>
        <w:tc>
          <w:tcPr>
            <w:tcW w:w="970" w:type="dxa"/>
            <w:vMerge w:val="restart"/>
            <w:vAlign w:val="center"/>
          </w:tcPr>
          <w:p w14:paraId="507F2C54">
            <w:pPr>
              <w:keepNext/>
              <w:keepLines/>
              <w:snapToGrid w:val="0"/>
              <w:spacing w:before="260" w:after="260" w:line="400" w:lineRule="exact"/>
              <w:contextualSpacing/>
            </w:pPr>
          </w:p>
        </w:tc>
      </w:tr>
      <w:tr w14:paraId="0C83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54" w:type="dxa"/>
            <w:vMerge w:val="continue"/>
            <w:vAlign w:val="center"/>
          </w:tcPr>
          <w:p w14:paraId="27EB7299">
            <w:pPr>
              <w:keepNext/>
              <w:keepLines/>
              <w:snapToGrid w:val="0"/>
              <w:spacing w:before="260" w:after="260" w:line="400" w:lineRule="exact"/>
              <w:contextualSpacing/>
            </w:pPr>
          </w:p>
        </w:tc>
        <w:tc>
          <w:tcPr>
            <w:tcW w:w="6496" w:type="dxa"/>
            <w:vAlign w:val="center"/>
          </w:tcPr>
          <w:p w14:paraId="0E982FDA">
            <w:pPr>
              <w:snapToGrid w:val="0"/>
              <w:spacing w:line="400" w:lineRule="exact"/>
              <w:contextualSpacing/>
            </w:pPr>
            <w:r>
              <w:rPr>
                <w:rFonts w:hint="eastAsia"/>
              </w:rPr>
              <w:t>发行信托或集合理财产品募集资金。</w:t>
            </w:r>
          </w:p>
        </w:tc>
        <w:tc>
          <w:tcPr>
            <w:tcW w:w="1134" w:type="dxa"/>
            <w:vMerge w:val="continue"/>
            <w:vAlign w:val="center"/>
          </w:tcPr>
          <w:p w14:paraId="7F70709E">
            <w:pPr>
              <w:keepNext/>
              <w:keepLines/>
              <w:snapToGrid w:val="0"/>
              <w:spacing w:before="260" w:after="260" w:line="400" w:lineRule="exact"/>
              <w:contextualSpacing/>
            </w:pPr>
          </w:p>
        </w:tc>
        <w:tc>
          <w:tcPr>
            <w:tcW w:w="970" w:type="dxa"/>
            <w:vMerge w:val="continue"/>
            <w:vAlign w:val="center"/>
          </w:tcPr>
          <w:p w14:paraId="179D66F8">
            <w:pPr>
              <w:keepNext/>
              <w:keepLines/>
              <w:snapToGrid w:val="0"/>
              <w:spacing w:before="260" w:after="260" w:line="400" w:lineRule="exact"/>
              <w:contextualSpacing/>
            </w:pPr>
          </w:p>
        </w:tc>
      </w:tr>
      <w:tr w14:paraId="4862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54" w:type="dxa"/>
            <w:vMerge w:val="continue"/>
            <w:vAlign w:val="center"/>
          </w:tcPr>
          <w:p w14:paraId="3EC5711F">
            <w:pPr>
              <w:keepNext/>
              <w:keepLines/>
              <w:snapToGrid w:val="0"/>
              <w:spacing w:before="260" w:after="260" w:line="400" w:lineRule="exact"/>
              <w:contextualSpacing/>
            </w:pPr>
          </w:p>
        </w:tc>
        <w:tc>
          <w:tcPr>
            <w:tcW w:w="6496" w:type="dxa"/>
            <w:vAlign w:val="center"/>
          </w:tcPr>
          <w:p w14:paraId="379188F4">
            <w:pPr>
              <w:snapToGrid w:val="0"/>
              <w:spacing w:line="400" w:lineRule="exact"/>
              <w:contextualSpacing/>
            </w:pPr>
            <w:r>
              <w:rPr>
                <w:rFonts w:hint="eastAsia"/>
              </w:rPr>
              <w:t>其他《深圳市政府投资引导基金管理办法》、《深圳市天使投资引导基金实施细则》、《深圳市科技创新种子基金实施细则》及国家法律法规禁止从事的业务。</w:t>
            </w:r>
          </w:p>
        </w:tc>
        <w:tc>
          <w:tcPr>
            <w:tcW w:w="1134" w:type="dxa"/>
            <w:vMerge w:val="continue"/>
            <w:vAlign w:val="center"/>
          </w:tcPr>
          <w:p w14:paraId="653FD88C">
            <w:pPr>
              <w:keepNext/>
              <w:keepLines/>
              <w:snapToGrid w:val="0"/>
              <w:spacing w:before="260" w:after="260" w:line="400" w:lineRule="exact"/>
              <w:contextualSpacing/>
            </w:pPr>
          </w:p>
        </w:tc>
        <w:tc>
          <w:tcPr>
            <w:tcW w:w="970" w:type="dxa"/>
            <w:vMerge w:val="continue"/>
            <w:vAlign w:val="center"/>
          </w:tcPr>
          <w:p w14:paraId="5D635FE1">
            <w:pPr>
              <w:keepNext/>
              <w:keepLines/>
              <w:snapToGrid w:val="0"/>
              <w:spacing w:before="260" w:after="260" w:line="400" w:lineRule="exact"/>
              <w:contextualSpacing/>
            </w:pPr>
          </w:p>
        </w:tc>
      </w:tr>
    </w:tbl>
    <w:p w14:paraId="7762D06C">
      <w:pPr>
        <w:spacing w:line="560" w:lineRule="exact"/>
      </w:pPr>
      <w:r>
        <w:rPr>
          <w:rFonts w:hint="eastAsia"/>
        </w:rPr>
        <w:t>注：拟申请种子基金参股的子基金应开展合规性自查，并在是否符合一栏填写“</w:t>
      </w:r>
      <w:r>
        <w:rPr>
          <w:rFonts w:hint="eastAsia" w:ascii="宋体" w:hAnsi="宋体"/>
        </w:rPr>
        <w:t>√</w:t>
      </w:r>
      <w:r>
        <w:rPr>
          <w:rFonts w:hint="eastAsia"/>
        </w:rPr>
        <w:t>”或“</w:t>
      </w:r>
      <w:r>
        <w:rPr>
          <w:rFonts w:hint="eastAsia" w:ascii="宋体" w:hAnsi="宋体"/>
        </w:rPr>
        <w:t>х</w:t>
      </w:r>
      <w:r>
        <w:rPr>
          <w:rFonts w:hint="eastAsia"/>
        </w:rPr>
        <w:t>”，需要进一步说明的事项请填写在备注栏。原则上，表中所列条件，子基金应全部符合或接受。</w:t>
      </w:r>
    </w:p>
    <w:p w14:paraId="24E2C702">
      <w:pPr>
        <w:spacing w:line="560" w:lineRule="exact"/>
        <w:rPr>
          <w:rFonts w:ascii="仿宋_GB2312" w:eastAsia="仿宋_GB2312"/>
          <w:sz w:val="32"/>
          <w:szCs w:val="32"/>
        </w:rPr>
      </w:pPr>
    </w:p>
    <w:p w14:paraId="398A52C5">
      <w:pPr>
        <w:spacing w:line="560" w:lineRule="exact"/>
        <w:ind w:right="2560"/>
        <w:jc w:val="right"/>
        <w:rPr>
          <w:rFonts w:ascii="仿宋_GB2312" w:eastAsia="仿宋_GB2312"/>
          <w:sz w:val="32"/>
          <w:szCs w:val="32"/>
        </w:rPr>
      </w:pPr>
      <w:r>
        <w:rPr>
          <w:rFonts w:hint="eastAsia" w:ascii="仿宋_GB2312" w:eastAsia="仿宋_GB2312"/>
          <w:sz w:val="32"/>
          <w:szCs w:val="32"/>
        </w:rPr>
        <w:t>管理机构盖章：</w:t>
      </w:r>
    </w:p>
    <w:p w14:paraId="0A961D45">
      <w:pPr>
        <w:spacing w:line="560" w:lineRule="exact"/>
        <w:rPr>
          <w:rFonts w:ascii="仿宋_GB2312" w:eastAsia="仿宋_GB2312"/>
          <w:b/>
          <w:bCs/>
          <w:sz w:val="32"/>
          <w:szCs w:val="32"/>
        </w:rPr>
      </w:pPr>
      <w:r>
        <w:rPr>
          <w:rFonts w:ascii="仿宋_GB2312" w:eastAsia="仿宋_GB2312"/>
          <w:sz w:val="32"/>
          <w:szCs w:val="32"/>
        </w:rPr>
        <w:br w:type="page"/>
      </w:r>
      <w:r>
        <w:rPr>
          <w:rFonts w:hint="eastAsia" w:ascii="仿宋_GB2312" w:eastAsia="仿宋_GB2312"/>
          <w:b/>
          <w:bCs/>
          <w:sz w:val="32"/>
          <w:szCs w:val="32"/>
        </w:rPr>
        <w:t>附件10</w:t>
      </w:r>
    </w:p>
    <w:p w14:paraId="3BEDA168">
      <w:pPr>
        <w:spacing w:line="56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廉政建设告知书</w:t>
      </w:r>
    </w:p>
    <w:p w14:paraId="2655D53F">
      <w:pPr>
        <w:pStyle w:val="15"/>
        <w:shd w:val="clear" w:color="auto" w:fill="FFFFFF"/>
        <w:spacing w:before="0" w:beforeAutospacing="0" w:after="0" w:afterAutospacing="0" w:line="560" w:lineRule="exact"/>
        <w:jc w:val="both"/>
        <w:rPr>
          <w:rFonts w:hint="eastAsia" w:eastAsia="仿宋"/>
          <w:sz w:val="32"/>
          <w:szCs w:val="32"/>
        </w:rPr>
      </w:pPr>
    </w:p>
    <w:p w14:paraId="5D1D70EF">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深圳市天使投资引导基金管理有限公司（以下称“管理公司”）受托管理深圳市科技创新种子基金，根据《深圳市政府投资引导基金管理办法》及《深圳市科技创新种子基金实施细则》等相关规范性文件，接受深圳市科技创新种子基金拟参股子基金的出资申请，审查相应的基金架构，选择符合条件的子基金管理机构。为了更好地发挥财政资金的引导放大作用，强化纪律约束，规范运作程序，现将相关廉政建设事项告知如下：</w:t>
      </w:r>
    </w:p>
    <w:p w14:paraId="1ECCAAD4">
      <w:pPr>
        <w:pStyle w:val="15"/>
        <w:shd w:val="clear" w:color="auto" w:fill="FFFFFF"/>
        <w:spacing w:before="0" w:beforeAutospacing="0" w:after="0" w:afterAutospacing="0" w:line="560" w:lineRule="exact"/>
        <w:ind w:firstLine="612" w:firstLineChars="200"/>
        <w:jc w:val="both"/>
        <w:rPr>
          <w:rFonts w:hint="eastAsia" w:ascii="黑体" w:hAnsi="黑体" w:eastAsia="黑体"/>
          <w:spacing w:val="-7"/>
          <w:sz w:val="32"/>
          <w:szCs w:val="32"/>
        </w:rPr>
      </w:pPr>
      <w:r>
        <w:rPr>
          <w:rFonts w:hint="eastAsia" w:ascii="黑体" w:hAnsi="黑体" w:eastAsia="黑体"/>
          <w:spacing w:val="-7"/>
          <w:sz w:val="32"/>
          <w:szCs w:val="32"/>
        </w:rPr>
        <w:t>一、管理公司工作人员不得从事以下行为：</w:t>
      </w:r>
    </w:p>
    <w:p w14:paraId="2CC25372">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1.严禁滥用职权，损害公司或他人利益；</w:t>
      </w:r>
    </w:p>
    <w:p w14:paraId="3607FA61">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2.严禁利用职务上的便利通过同业经营或关联交易为本人或特定关系人谋取利益；</w:t>
      </w:r>
    </w:p>
    <w:p w14:paraId="6B1D3D64">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3.严禁利用商业秘密、业务渠道等为本人或者他人牟利；</w:t>
      </w:r>
    </w:p>
    <w:p w14:paraId="5BC92395">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4.严禁索取、收受任何形式的回扣、手续费、酬金、礼金、感谢费、各种有价证券等；</w:t>
      </w:r>
    </w:p>
    <w:p w14:paraId="4E66E784">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5.严禁参加有可能影响公正履行职务的宴请、旅游和其它高消费娱乐活动。</w:t>
      </w:r>
    </w:p>
    <w:p w14:paraId="5CCC8B5E">
      <w:pPr>
        <w:pStyle w:val="15"/>
        <w:shd w:val="clear" w:color="auto" w:fill="FFFFFF"/>
        <w:spacing w:before="0" w:beforeAutospacing="0" w:after="0" w:afterAutospacing="0" w:line="560" w:lineRule="exact"/>
        <w:ind w:firstLine="612" w:firstLineChars="200"/>
        <w:jc w:val="both"/>
        <w:rPr>
          <w:rFonts w:hint="eastAsia" w:ascii="黑体" w:hAnsi="黑体" w:eastAsia="黑体"/>
          <w:spacing w:val="-7"/>
          <w:sz w:val="32"/>
          <w:szCs w:val="32"/>
        </w:rPr>
      </w:pPr>
      <w:r>
        <w:rPr>
          <w:rFonts w:hint="eastAsia" w:ascii="黑体" w:hAnsi="黑体" w:eastAsia="黑体"/>
          <w:spacing w:val="-7"/>
          <w:sz w:val="32"/>
          <w:szCs w:val="32"/>
        </w:rPr>
        <w:t>二、贵单位不得从事以下行为：</w:t>
      </w:r>
    </w:p>
    <w:p w14:paraId="2E0B7BE0">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1.不得行贿、变相行贿以及报销本应由管理公司工作人员支付的费用；</w:t>
      </w:r>
    </w:p>
    <w:p w14:paraId="099C1B57">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2.不得赠送礼品、礼金、各种有价证券及其他支付凭证；</w:t>
      </w:r>
    </w:p>
    <w:p w14:paraId="44D19FB6">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3.不得提供任何方式的高消费娱乐活动；</w:t>
      </w:r>
    </w:p>
    <w:p w14:paraId="38E8F16B">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4.不得为管理公司工作人员在贵单位入股、参股、兼职以及为其个人牟利提供便利。</w:t>
      </w:r>
    </w:p>
    <w:p w14:paraId="1A3DCC8D">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5.不得将子基金所募集资金中【深圳市科技创新种子基金】的出资部分作为申报或领取募资奖励的基数。</w:t>
      </w:r>
    </w:p>
    <w:p w14:paraId="10CB8EA9">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以上规定希望得到贵单位的支持和配合，若管理公司工作人员有违反上述规定的行为，在工作中发生不廉洁、不正当及违反相关规范性文件的情形，贵单位有权向管理公司纪律部门投诉反映，管理公司将严肃查处，决不姑息；触犯国家法律的，依法移送司法机关处理。如贵单位人员违反本规定，管理公司有权中止或取消与贵单位的合作，由此造成的后果由贵单位负责。</w:t>
      </w:r>
    </w:p>
    <w:p w14:paraId="6C2CB572">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管理公司廉政建设投诉电话：</w:t>
      </w:r>
      <w:r>
        <w:rPr>
          <w:rFonts w:ascii="仿宋_GB2312" w:hAnsi="Calibri" w:eastAsia="仿宋_GB2312" w:cs="Times New Roman"/>
          <w:kern w:val="2"/>
          <w:sz w:val="32"/>
          <w:szCs w:val="32"/>
        </w:rPr>
        <w:t>0755-26165888</w:t>
      </w:r>
    </w:p>
    <w:p w14:paraId="0A39BE45">
      <w:pPr>
        <w:pStyle w:val="15"/>
        <w:shd w:val="clear" w:color="auto" w:fill="FFFFFF"/>
        <w:spacing w:before="0" w:beforeAutospacing="0" w:after="0" w:afterAutospacing="0" w:line="560" w:lineRule="exac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特此告知！</w:t>
      </w:r>
    </w:p>
    <w:p w14:paraId="64450740">
      <w:pPr>
        <w:pStyle w:val="15"/>
        <w:shd w:val="clear" w:color="auto" w:fill="FFFFFF"/>
        <w:spacing w:before="0" w:beforeAutospacing="0" w:after="0" w:afterAutospacing="0" w:line="560" w:lineRule="exact"/>
        <w:ind w:firstLine="640" w:firstLineChars="200"/>
        <w:jc w:val="both"/>
        <w:rPr>
          <w:rFonts w:hint="eastAsia" w:ascii="仿宋_GB2312" w:hAnsi="仿宋_GB2312" w:eastAsia="仿宋_GB2312" w:cs="仿宋"/>
          <w:sz w:val="32"/>
          <w:szCs w:val="32"/>
        </w:rPr>
      </w:pPr>
    </w:p>
    <w:p w14:paraId="47340634">
      <w:pPr>
        <w:pStyle w:val="15"/>
        <w:shd w:val="clear" w:color="auto" w:fill="FFFFFF"/>
        <w:spacing w:before="0" w:beforeAutospacing="0" w:after="0" w:afterAutospacing="0" w:line="560" w:lineRule="exact"/>
        <w:jc w:val="both"/>
        <w:rPr>
          <w:rFonts w:hint="eastAsia" w:ascii="仿宋_GB2312" w:hAnsi="仿宋_GB2312" w:eastAsia="仿宋_GB2312" w:cs="仿宋"/>
          <w:sz w:val="32"/>
          <w:szCs w:val="32"/>
        </w:rPr>
      </w:pPr>
      <w:bookmarkStart w:id="14" w:name="_Hlk200529836"/>
      <w:r>
        <w:rPr>
          <w:rFonts w:hint="eastAsia" w:ascii="仿宋_GB2312" w:hAnsi="仿宋_GB2312" w:eastAsia="仿宋_GB2312" w:cs="仿宋"/>
          <w:sz w:val="32"/>
          <w:szCs w:val="32"/>
        </w:rPr>
        <w:t>_______________________________________________________</w:t>
      </w:r>
    </w:p>
    <w:p w14:paraId="31DEDE92">
      <w:pPr>
        <w:spacing w:line="56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回执</w:t>
      </w:r>
    </w:p>
    <w:p w14:paraId="4E0D4D2C">
      <w:pPr>
        <w:pStyle w:val="15"/>
        <w:shd w:val="clear" w:color="auto" w:fill="FFFFFF"/>
        <w:spacing w:before="0" w:beforeAutospacing="0" w:after="0" w:afterAutospacing="0" w:line="560" w:lineRule="exact"/>
        <w:ind w:firstLine="640" w:firstLineChars="200"/>
        <w:jc w:val="both"/>
        <w:rPr>
          <w:rFonts w:hint="eastAsia" w:ascii="仿宋_GB2312" w:eastAsia="仿宋_GB2312" w:cs="仿宋_GB2312"/>
          <w:sz w:val="32"/>
          <w:szCs w:val="32"/>
        </w:rPr>
      </w:pPr>
      <w:r>
        <w:rPr>
          <w:rFonts w:hint="eastAsia" w:ascii="仿宋_GB2312" w:hAnsi="Calibri" w:eastAsia="仿宋_GB2312" w:cs="Times New Roman"/>
          <w:kern w:val="2"/>
          <w:sz w:val="32"/>
          <w:szCs w:val="32"/>
        </w:rPr>
        <w:t>申请机构已经详细阅读并全面理解了上述</w:t>
      </w:r>
      <w:r>
        <w:rPr>
          <w:rFonts w:ascii="仿宋_GB2312" w:hAnsi="Calibri" w:eastAsia="仿宋_GB2312" w:cs="Times New Roman"/>
          <w:kern w:val="2"/>
          <w:sz w:val="32"/>
          <w:szCs w:val="32"/>
        </w:rPr>
        <w:t>《廉政建设告知书》</w:t>
      </w:r>
      <w:r>
        <w:rPr>
          <w:rFonts w:hint="eastAsia" w:ascii="仿宋_GB2312" w:hAnsi="Calibri" w:eastAsia="仿宋_GB2312" w:cs="Times New Roman"/>
          <w:kern w:val="2"/>
          <w:sz w:val="32"/>
          <w:szCs w:val="32"/>
        </w:rPr>
        <w:t>中的全部内容</w:t>
      </w:r>
      <w:r>
        <w:rPr>
          <w:rFonts w:ascii="仿宋_GB2312" w:hAnsi="Calibri" w:eastAsia="仿宋_GB2312" w:cs="Times New Roman"/>
          <w:kern w:val="2"/>
          <w:sz w:val="32"/>
          <w:szCs w:val="32"/>
        </w:rPr>
        <w:t>，</w:t>
      </w:r>
      <w:r>
        <w:rPr>
          <w:rFonts w:hint="eastAsia" w:ascii="仿宋_GB2312" w:hAnsi="Calibri" w:eastAsia="仿宋_GB2312" w:cs="Times New Roman"/>
          <w:kern w:val="2"/>
          <w:sz w:val="32"/>
          <w:szCs w:val="32"/>
        </w:rPr>
        <w:t>申请机构承诺完全遵守</w:t>
      </w:r>
      <w:r>
        <w:rPr>
          <w:rFonts w:ascii="仿宋_GB2312" w:hAnsi="Calibri" w:eastAsia="仿宋_GB2312" w:cs="Times New Roman"/>
          <w:kern w:val="2"/>
          <w:sz w:val="32"/>
          <w:szCs w:val="32"/>
        </w:rPr>
        <w:t>、</w:t>
      </w:r>
      <w:r>
        <w:rPr>
          <w:rFonts w:hint="eastAsia" w:ascii="仿宋_GB2312" w:hAnsi="Calibri" w:eastAsia="仿宋_GB2312" w:cs="Times New Roman"/>
          <w:kern w:val="2"/>
          <w:sz w:val="32"/>
          <w:szCs w:val="32"/>
        </w:rPr>
        <w:t>全面履行并自愿承担上述告知书中的全部内容</w:t>
      </w:r>
      <w:r>
        <w:rPr>
          <w:rFonts w:ascii="仿宋_GB2312" w:hAnsi="Calibri" w:eastAsia="仿宋_GB2312" w:cs="Times New Roman"/>
          <w:kern w:val="2"/>
          <w:sz w:val="32"/>
          <w:szCs w:val="32"/>
        </w:rPr>
        <w:t>、</w:t>
      </w:r>
      <w:r>
        <w:rPr>
          <w:rFonts w:hint="eastAsia" w:ascii="仿宋_GB2312" w:hAnsi="Calibri" w:eastAsia="仿宋_GB2312" w:cs="Times New Roman"/>
          <w:kern w:val="2"/>
          <w:sz w:val="32"/>
          <w:szCs w:val="32"/>
        </w:rPr>
        <w:t>要求</w:t>
      </w:r>
      <w:r>
        <w:rPr>
          <w:rFonts w:ascii="仿宋_GB2312" w:hAnsi="Calibri" w:eastAsia="仿宋_GB2312" w:cs="Times New Roman"/>
          <w:kern w:val="2"/>
          <w:sz w:val="32"/>
          <w:szCs w:val="32"/>
        </w:rPr>
        <w:t>、</w:t>
      </w:r>
      <w:r>
        <w:rPr>
          <w:rFonts w:hint="eastAsia" w:ascii="仿宋_GB2312" w:hAnsi="Calibri" w:eastAsia="仿宋_GB2312" w:cs="Times New Roman"/>
          <w:kern w:val="2"/>
          <w:sz w:val="32"/>
          <w:szCs w:val="32"/>
        </w:rPr>
        <w:t>责任及后果</w:t>
      </w:r>
      <w:r>
        <w:rPr>
          <w:rFonts w:ascii="仿宋_GB2312" w:hAnsi="Calibri" w:eastAsia="仿宋_GB2312" w:cs="Times New Roman"/>
          <w:kern w:val="2"/>
          <w:sz w:val="32"/>
          <w:szCs w:val="32"/>
        </w:rPr>
        <w:t>。</w:t>
      </w:r>
    </w:p>
    <w:p w14:paraId="6F566B6C">
      <w:pPr>
        <w:pStyle w:val="15"/>
        <w:shd w:val="clear" w:color="auto" w:fill="FFFFFF"/>
        <w:spacing w:before="0" w:beforeAutospacing="0" w:after="0" w:afterAutospacing="0" w:line="560" w:lineRule="exact"/>
        <w:ind w:firstLine="640" w:firstLineChars="200"/>
        <w:jc w:val="both"/>
        <w:rPr>
          <w:rFonts w:hint="eastAsia" w:ascii="仿宋_GB2312" w:eastAsia="仿宋_GB2312" w:cs="仿宋_GB2312"/>
          <w:sz w:val="32"/>
          <w:szCs w:val="32"/>
        </w:rPr>
      </w:pPr>
    </w:p>
    <w:p w14:paraId="6163F14A">
      <w:pPr>
        <w:pStyle w:val="15"/>
        <w:shd w:val="clear" w:color="auto" w:fill="FFFFFF"/>
        <w:wordWrap w:val="0"/>
        <w:spacing w:before="0" w:beforeAutospacing="0" w:after="0" w:afterAutospacing="0" w:line="560" w:lineRule="exact"/>
        <w:ind w:firstLine="640" w:firstLineChars="200"/>
        <w:jc w:val="right"/>
        <w:rPr>
          <w:rFonts w:hint="eastAsia" w:ascii="仿宋_GB2312" w:eastAsia="仿宋_GB2312" w:cs="仿宋_GB2312"/>
          <w:sz w:val="32"/>
          <w:szCs w:val="32"/>
        </w:rPr>
      </w:pPr>
      <w:r>
        <w:rPr>
          <w:rFonts w:hint="eastAsia" w:ascii="仿宋_GB2312" w:eastAsia="仿宋_GB2312" w:cs="仿宋_GB2312"/>
          <w:sz w:val="32"/>
          <w:szCs w:val="32"/>
        </w:rPr>
        <w:t xml:space="preserve">申请机构（盖章）：                </w:t>
      </w:r>
    </w:p>
    <w:p w14:paraId="522C82D1">
      <w:pPr>
        <w:pStyle w:val="15"/>
        <w:shd w:val="clear" w:color="auto" w:fill="FFFFFF"/>
        <w:spacing w:before="0" w:beforeAutospacing="0" w:after="0" w:afterAutospacing="0" w:line="560" w:lineRule="exact"/>
        <w:ind w:firstLine="640" w:firstLineChars="200"/>
        <w:jc w:val="right"/>
        <w:rPr>
          <w:rFonts w:hint="eastAsia" w:ascii="仿宋_GB2312" w:eastAsia="仿宋_GB2312" w:cs="仿宋_GB2312"/>
          <w:sz w:val="32"/>
          <w:szCs w:val="32"/>
        </w:rPr>
      </w:pPr>
    </w:p>
    <w:p w14:paraId="1A2889F0">
      <w:pPr>
        <w:pStyle w:val="15"/>
        <w:shd w:val="clear" w:color="auto" w:fill="FFFFFF"/>
        <w:spacing w:before="0" w:beforeAutospacing="0" w:after="0" w:afterAutospacing="0" w:line="560" w:lineRule="exact"/>
        <w:ind w:firstLine="640" w:firstLineChars="200"/>
        <w:jc w:val="right"/>
        <w:rPr>
          <w:rFonts w:hint="eastAsia"/>
        </w:rPr>
      </w:pPr>
      <w:r>
        <w:rPr>
          <w:rFonts w:hint="eastAsia" w:ascii="仿宋_GB2312" w:eastAsia="仿宋_GB2312" w:cs="仿宋_GB2312"/>
          <w:sz w:val="32"/>
          <w:szCs w:val="32"/>
        </w:rPr>
        <w:t>年    月    日</w:t>
      </w:r>
      <w:bookmarkEnd w:id="14"/>
    </w:p>
    <w:p w14:paraId="20406EC4">
      <w:pPr>
        <w:spacing w:line="560" w:lineRule="exact"/>
      </w:pPr>
    </w:p>
    <w:p w14:paraId="62E61FFB">
      <w:pPr>
        <w:widowControl/>
        <w:jc w:val="left"/>
        <w:rPr>
          <w:rFonts w:hint="eastAsia" w:ascii="仿宋_GB2312" w:hAnsi="宋体" w:eastAsia="仿宋_GB2312"/>
          <w:b/>
          <w:bCs/>
          <w:sz w:val="32"/>
          <w:szCs w:val="32"/>
        </w:rPr>
      </w:pPr>
      <w:r>
        <w:rPr>
          <w:rFonts w:ascii="仿宋_GB2312" w:hAnsi="宋体" w:eastAsia="仿宋_GB2312"/>
          <w:b/>
          <w:bCs/>
          <w:sz w:val="32"/>
          <w:szCs w:val="32"/>
        </w:rPr>
        <w:br w:type="page"/>
      </w:r>
    </w:p>
    <w:p w14:paraId="3165C4AA">
      <w:pPr>
        <w:spacing w:line="560" w:lineRule="exact"/>
        <w:outlineLvl w:val="0"/>
        <w:rPr>
          <w:rFonts w:ascii="仿宋_GB2312" w:eastAsia="仿宋_GB2312"/>
          <w:b/>
          <w:bCs/>
          <w:sz w:val="32"/>
          <w:szCs w:val="32"/>
        </w:rPr>
      </w:pPr>
      <w:r>
        <w:rPr>
          <w:rFonts w:hint="eastAsia" w:ascii="仿宋_GB2312" w:eastAsia="仿宋_GB2312"/>
          <w:b/>
          <w:bCs/>
          <w:sz w:val="32"/>
          <w:szCs w:val="32"/>
        </w:rPr>
        <w:t>附件11</w:t>
      </w:r>
    </w:p>
    <w:p w14:paraId="2836777D">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《深圳市科技创新种子基金申报指南及遴选办法》相关释义如下：</w:t>
      </w:r>
    </w:p>
    <w:p w14:paraId="3A910CA0">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1.市科技创新局对种子基金投向进行产业政策符合性审查是指审查拟设子基金选定投资方向是否属于“</w:t>
      </w:r>
      <w:r>
        <w:rPr>
          <w:rFonts w:ascii="仿宋_GB2312" w:eastAsia="仿宋_GB2312" w:cs="仿宋_GB2312"/>
          <w:sz w:val="32"/>
          <w:szCs w:val="32"/>
        </w:rPr>
        <w:t>20+8</w:t>
      </w:r>
      <w:r>
        <w:rPr>
          <w:rFonts w:hint="eastAsia" w:ascii="仿宋_GB2312" w:eastAsia="仿宋_GB2312" w:cs="仿宋_GB2312"/>
          <w:sz w:val="32"/>
          <w:szCs w:val="32"/>
        </w:rPr>
        <w:t>”产业的相关领域。</w:t>
      </w:r>
    </w:p>
    <w:p w14:paraId="4C92C60F">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2.关联方是指某一主体直接或间接控制的相关主体，或直接或间接控制该主体的相关主体，或与该主体受到同一主体直接或间接控制的相关主体。</w:t>
      </w:r>
    </w:p>
    <w:p w14:paraId="35C50A83">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3.成功投资的案例是指以现金方式退出部分或全部股权，项目股权退出50%以上且该退出部分股权投资收益率超过50%；或退出比例低于50%且回收资金超过全部投资本金100%；或按照种子基金投资决策前30个交易日内股票交易均价计算持有项目的流通市值对应本金收益率超过50%（对于一年内解禁的限售流通市值可按其50%计算收益率）。</w:t>
      </w:r>
    </w:p>
    <w:p w14:paraId="63310DFE">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4.投资能力认定部分涉及的子基金管理机构是指子基金管理机构或子基金管理机构合并财务报表范围内的企业。</w:t>
      </w:r>
    </w:p>
    <w:p w14:paraId="6BF2B146">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5.主要股东是指对公司有实际控制、共同控制或重大影响的股东，具体参照《企业会计准则》及其应用指南规定。</w:t>
      </w:r>
    </w:p>
    <w:p w14:paraId="5887A8C3">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6.首轮外部机构投资是指目标项目首次接受外部机构投资的行为，其中外部机构不包括目标企业创始人、高管和员工以及上述人员的亲属和朋友等个人，上述人员出资形成的投资平台或所任职单位，个人天使或个人天使设立的投资平台，以及作为目标项目发起人股东的高校、科研院所、孵化机构及相关科技成果转化平台。投资时间（以子基金对拟投项目投资决策时间为准）距离第一笔外部机构投资时间（以工商登记时间为准）相距不超过一年时间，且价格相近的，可视为同一轮投资；以上一家外部机构的投后估值作为下个外部机构的投前价格，或不同机构资金投入的时间或者投资条件差异而导致的投前较上个机构投后估值水平差异不超过20%的，可以视为价格相近的投资。</w:t>
      </w:r>
    </w:p>
    <w:p w14:paraId="6762350D">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7.同期银行贷款基准利率以价款支付时中国人民银行公布的同期人民币贷款市场报价利率为准。</w:t>
      </w:r>
    </w:p>
    <w:p w14:paraId="3D9A295C">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8.本申报指南及遴选办法所称的“以上”、“以下”、“不超过”、“不得超过”、“不低于”、“不得低于”、“不得高于”包括本数；所称的“低于”、“超过”、“高于”不包含本数。</w:t>
      </w:r>
    </w:p>
    <w:p w14:paraId="5E318F01">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9.原始投资额是指种子基金对子基金的实缴出资金额扣除已收回本金后的剩余资金金额。</w:t>
      </w:r>
    </w:p>
    <w:p w14:paraId="2E47F860">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10.累计分红是指自子基金成立之日起，至回购完成之日止，种子基金全部应收回资金（含已收回资金及子基金银行账户待分配资金）扣减退出项目对应投资本金后的收益，不含现金管理和政府补贴等非投资性收益。</w:t>
      </w:r>
    </w:p>
    <w:p w14:paraId="1A103AA4">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11.区引导基金统筹协调安排出资的统筹协调是指区引导基金自身出资或联合其他财政、国有资金共同出资等行为。</w:t>
      </w:r>
    </w:p>
    <w:p w14:paraId="7BA66F28">
      <w:pPr>
        <w:rPr>
          <w:bCs/>
        </w:rPr>
      </w:pPr>
      <w:r>
        <w:rPr>
          <w:rFonts w:hint="eastAsia" w:ascii="仿宋_GB2312" w:eastAsia="仿宋_GB2312" w:cs="仿宋_GB2312"/>
          <w:sz w:val="32"/>
          <w:szCs w:val="32"/>
        </w:rPr>
        <w:t>12.“20+8”产业定义：以政府相关部门最新发布政策为准。</w:t>
      </w:r>
    </w:p>
    <w:p w14:paraId="3B03399B">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13.总部是指具有独立法人资格（商业银行专营机构除外），对一定区域内的企业行使投资控股、运营决策、研究开发、集中销售、财务结算等管理服务职能的总机构。</w:t>
      </w:r>
    </w:p>
    <w:p w14:paraId="05C5D4B1">
      <w:pPr>
        <w:spacing w:line="560" w:lineRule="exact"/>
        <w:outlineLvl w:val="0"/>
        <w:rPr>
          <w:rFonts w:ascii="仿宋_GB2312" w:eastAsia="仿宋_GB2312" w:cs="仿宋_GB2312"/>
          <w:sz w:val="32"/>
          <w:szCs w:val="32"/>
        </w:rPr>
      </w:pPr>
      <w:r>
        <w:rPr>
          <w:rFonts w:hint="eastAsia" w:ascii="仿宋_GB2312" w:eastAsia="仿宋_GB2312" w:cs="仿宋_GB2312"/>
          <w:sz w:val="32"/>
          <w:szCs w:val="32"/>
        </w:rPr>
        <w:t>14.社会资本是指非深圳市属区属财政资金、市属区属国资国企的出资人。</w:t>
      </w:r>
    </w:p>
    <w:p w14:paraId="048D6856">
      <w:pPr>
        <w:widowControl/>
        <w:shd w:val="clear" w:color="auto" w:fill="FFFFFF"/>
        <w:spacing w:line="560" w:lineRule="exact"/>
        <w:rPr>
          <w:rFonts w:hint="eastAsia" w:ascii="仿宋_GB2312" w:hAnsi="仿宋" w:eastAsia="仿宋_GB2312"/>
          <w:sz w:val="32"/>
          <w:szCs w:val="32"/>
        </w:rPr>
      </w:pPr>
    </w:p>
    <w:sectPr>
      <w:footerReference r:id="rId3" w:type="default"/>
      <w:footerReference r:id="rId4" w:type="even"/>
      <w:pgSz w:w="11906" w:h="16838"/>
      <w:pgMar w:top="1588" w:right="1474" w:bottom="1474"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10DA1FB3-85C2-4228-8484-43B219C901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40E397D-FA18-453A-8340-47CC74069006}"/>
  </w:font>
  <w:font w:name="方正小标宋简体">
    <w:panose1 w:val="03000509000000000000"/>
    <w:charset w:val="86"/>
    <w:family w:val="script"/>
    <w:pitch w:val="default"/>
    <w:sig w:usb0="00000001" w:usb1="080E0000" w:usb2="00000000" w:usb3="00000000" w:csb0="00040000" w:csb1="00000000"/>
    <w:embedRegular r:id="rId3" w:fontKey="{F937E175-DB75-4115-A918-76F8CFE219C9}"/>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embedRegular r:id="rId4" w:fontKey="{F730CA3A-6600-4F7D-A820-978EF22CA0C2}"/>
  </w:font>
  <w:font w:name="仿宋_GB2312">
    <w:panose1 w:val="02010609030101010101"/>
    <w:charset w:val="86"/>
    <w:family w:val="modern"/>
    <w:pitch w:val="default"/>
    <w:sig w:usb0="00000001" w:usb1="080E0000" w:usb2="00000000" w:usb3="00000000" w:csb0="00040000" w:csb1="00000000"/>
    <w:embedRegular r:id="rId5" w:fontKey="{E521E6CE-B514-45E3-8166-F205870420AE}"/>
  </w:font>
  <w:font w:name="仿宋">
    <w:panose1 w:val="02010609060101010101"/>
    <w:charset w:val="86"/>
    <w:family w:val="modern"/>
    <w:pitch w:val="default"/>
    <w:sig w:usb0="800002BF" w:usb1="38CF7CFA" w:usb2="00000016" w:usb3="00000000" w:csb0="00040001" w:csb1="00000000"/>
    <w:embedRegular r:id="rId6" w:fontKey="{C03BEEDC-B795-4C88-A2D1-129E3E408D46}"/>
  </w:font>
  <w:font w:name="微软雅黑">
    <w:panose1 w:val="020B0503020204020204"/>
    <w:charset w:val="86"/>
    <w:family w:val="swiss"/>
    <w:pitch w:val="default"/>
    <w:sig w:usb0="80000287" w:usb1="2ACF3C50" w:usb2="00000016" w:usb3="00000000" w:csb0="0004001F" w:csb1="00000000"/>
    <w:embedRegular r:id="rId7" w:fontKey="{D0B22FC8-9F3B-417A-90A2-D98ADC74DA82}"/>
  </w:font>
  <w:font w:name="?????">
    <w:altName w:val="Times New Roman"/>
    <w:panose1 w:val="00000000000000000000"/>
    <w:charset w:val="00"/>
    <w:family w:val="auto"/>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embedRegular r:id="rId8" w:fontKey="{B1BB3C41-8A13-4355-8C1F-A01876222C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532487"/>
    </w:sdtPr>
    <w:sdtContent>
      <w:p w14:paraId="5311CF7B">
        <w:pPr>
          <w:pStyle w:val="6"/>
          <w:jc w:val="right"/>
        </w:pP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   \* MERGEFORMAT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lang w:val="zh-CN"/>
          </w:rPr>
          <w:t>-</w:t>
        </w:r>
        <w:r>
          <w:rPr>
            <w:rFonts w:asciiTheme="majorEastAsia" w:hAnsiTheme="majorEastAsia" w:eastAsiaTheme="majorEastAsia"/>
            <w:sz w:val="24"/>
            <w:szCs w:val="24"/>
          </w:rPr>
          <w:t xml:space="preserve"> 27 -</w:t>
        </w:r>
        <w:r>
          <w:rPr>
            <w:rFonts w:asciiTheme="majorEastAsia" w:hAnsiTheme="majorEastAsia" w:eastAsiaTheme="majorEastAsia"/>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532492"/>
    </w:sdtPr>
    <w:sdtEndPr>
      <w:rPr>
        <w:rFonts w:ascii="宋体" w:hAnsi="宋体"/>
        <w:sz w:val="24"/>
        <w:szCs w:val="24"/>
      </w:rPr>
    </w:sdtEndPr>
    <w:sdtContent>
      <w:p w14:paraId="6D2730E1">
        <w:pPr>
          <w:pStyle w:val="6"/>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rPr>
          <w:t>- 28 -</w:t>
        </w:r>
        <w:r>
          <w:rPr>
            <w:rFonts w:ascii="宋体" w:hAnsi="宋体"/>
            <w:sz w:val="24"/>
            <w:szCs w:val="24"/>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082B13"/>
    <w:multiLevelType w:val="singleLevel"/>
    <w:tmpl w:val="CD082B13"/>
    <w:lvl w:ilvl="0" w:tentative="0">
      <w:start w:val="1"/>
      <w:numFmt w:val="chineseCounting"/>
      <w:suff w:val="nothing"/>
      <w:lvlText w:val="（%1）"/>
      <w:lvlJc w:val="left"/>
      <w:rPr>
        <w:rFonts w:hint="eastAsia"/>
      </w:rPr>
    </w:lvl>
  </w:abstractNum>
  <w:abstractNum w:abstractNumId="1">
    <w:nsid w:val="01A35A20"/>
    <w:multiLevelType w:val="singleLevel"/>
    <w:tmpl w:val="01A35A20"/>
    <w:lvl w:ilvl="0" w:tentative="0">
      <w:start w:val="2"/>
      <w:numFmt w:val="chineseCounting"/>
      <w:suff w:val="nothing"/>
      <w:lvlText w:val="%1、"/>
      <w:lvlJc w:val="left"/>
      <w:rPr>
        <w:rFonts w:hint="eastAsia"/>
      </w:rPr>
    </w:lvl>
  </w:abstractNum>
  <w:abstractNum w:abstractNumId="2">
    <w:nsid w:val="06AB01DC"/>
    <w:multiLevelType w:val="multilevel"/>
    <w:tmpl w:val="06AB01D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4C6A553C"/>
    <w:multiLevelType w:val="multilevel"/>
    <w:tmpl w:val="4C6A553C"/>
    <w:lvl w:ilvl="0" w:tentative="0">
      <w:start w:val="1"/>
      <w:numFmt w:val="decimal"/>
      <w:lvlText w:val="%1."/>
      <w:lvlJc w:val="left"/>
      <w:pPr>
        <w:ind w:left="420" w:hanging="420"/>
      </w:pPr>
      <w:rPr>
        <w:rFonts w:hint="eastAsia" w:ascii="仿宋_GB2312" w:eastAsia="仿宋_GB2312"/>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07441AE"/>
    <w:multiLevelType w:val="multilevel"/>
    <w:tmpl w:val="507441A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46B6782"/>
    <w:multiLevelType w:val="multilevel"/>
    <w:tmpl w:val="546B678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75F332B1"/>
    <w:multiLevelType w:val="multilevel"/>
    <w:tmpl w:val="75F332B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M5YTRiMzQzY2VlYjMxY2RiNTYwYzg5YTU0YzFjZDAifQ=="/>
  </w:docVars>
  <w:rsids>
    <w:rsidRoot w:val="00565E0D"/>
    <w:rsid w:val="00002F0B"/>
    <w:rsid w:val="00003CCE"/>
    <w:rsid w:val="00003FF1"/>
    <w:rsid w:val="00010724"/>
    <w:rsid w:val="00013DC8"/>
    <w:rsid w:val="00015E0F"/>
    <w:rsid w:val="00016D91"/>
    <w:rsid w:val="0001774D"/>
    <w:rsid w:val="0002033A"/>
    <w:rsid w:val="000250F1"/>
    <w:rsid w:val="00027264"/>
    <w:rsid w:val="0002755B"/>
    <w:rsid w:val="00033016"/>
    <w:rsid w:val="00035734"/>
    <w:rsid w:val="0003626A"/>
    <w:rsid w:val="0003648D"/>
    <w:rsid w:val="0004532C"/>
    <w:rsid w:val="00052F17"/>
    <w:rsid w:val="0005557E"/>
    <w:rsid w:val="00055CEC"/>
    <w:rsid w:val="0005629D"/>
    <w:rsid w:val="00065B9F"/>
    <w:rsid w:val="000665C7"/>
    <w:rsid w:val="000671B6"/>
    <w:rsid w:val="00072D05"/>
    <w:rsid w:val="000754B8"/>
    <w:rsid w:val="00077AAC"/>
    <w:rsid w:val="000818F0"/>
    <w:rsid w:val="00081A6A"/>
    <w:rsid w:val="00083E32"/>
    <w:rsid w:val="000862D9"/>
    <w:rsid w:val="00087177"/>
    <w:rsid w:val="000879FA"/>
    <w:rsid w:val="00095268"/>
    <w:rsid w:val="000A0E67"/>
    <w:rsid w:val="000A5F97"/>
    <w:rsid w:val="000A6408"/>
    <w:rsid w:val="000A7160"/>
    <w:rsid w:val="000B3DDB"/>
    <w:rsid w:val="000B3F0B"/>
    <w:rsid w:val="000B5B9E"/>
    <w:rsid w:val="000B673B"/>
    <w:rsid w:val="000B7A2D"/>
    <w:rsid w:val="000C1702"/>
    <w:rsid w:val="000C173F"/>
    <w:rsid w:val="000C7E2F"/>
    <w:rsid w:val="000D04BE"/>
    <w:rsid w:val="000D262C"/>
    <w:rsid w:val="000D2EF5"/>
    <w:rsid w:val="000D33BB"/>
    <w:rsid w:val="000D55B0"/>
    <w:rsid w:val="000E02E9"/>
    <w:rsid w:val="000E0DA1"/>
    <w:rsid w:val="000E3213"/>
    <w:rsid w:val="000E5B9C"/>
    <w:rsid w:val="000F0BA9"/>
    <w:rsid w:val="000F1897"/>
    <w:rsid w:val="000F491E"/>
    <w:rsid w:val="000F4F22"/>
    <w:rsid w:val="000F73FC"/>
    <w:rsid w:val="000F7FAA"/>
    <w:rsid w:val="0010067A"/>
    <w:rsid w:val="00100BA2"/>
    <w:rsid w:val="001041D2"/>
    <w:rsid w:val="001058AA"/>
    <w:rsid w:val="00112906"/>
    <w:rsid w:val="00112939"/>
    <w:rsid w:val="00112F1B"/>
    <w:rsid w:val="00120C65"/>
    <w:rsid w:val="00120FCF"/>
    <w:rsid w:val="001308B0"/>
    <w:rsid w:val="00132965"/>
    <w:rsid w:val="00142E8D"/>
    <w:rsid w:val="001431CA"/>
    <w:rsid w:val="00145F12"/>
    <w:rsid w:val="00147D09"/>
    <w:rsid w:val="00150C57"/>
    <w:rsid w:val="00153C3B"/>
    <w:rsid w:val="00154E6F"/>
    <w:rsid w:val="001562FC"/>
    <w:rsid w:val="00160A92"/>
    <w:rsid w:val="00160D86"/>
    <w:rsid w:val="001622BB"/>
    <w:rsid w:val="0016353C"/>
    <w:rsid w:val="0016354E"/>
    <w:rsid w:val="00163E73"/>
    <w:rsid w:val="00172A18"/>
    <w:rsid w:val="00177B6D"/>
    <w:rsid w:val="00182879"/>
    <w:rsid w:val="001843A8"/>
    <w:rsid w:val="00185BFA"/>
    <w:rsid w:val="001877D4"/>
    <w:rsid w:val="00192A80"/>
    <w:rsid w:val="00195EDC"/>
    <w:rsid w:val="001A12CD"/>
    <w:rsid w:val="001A1C71"/>
    <w:rsid w:val="001A1CDA"/>
    <w:rsid w:val="001A2925"/>
    <w:rsid w:val="001A3652"/>
    <w:rsid w:val="001A3A5A"/>
    <w:rsid w:val="001A4415"/>
    <w:rsid w:val="001A4D0C"/>
    <w:rsid w:val="001A4E0F"/>
    <w:rsid w:val="001A4FC8"/>
    <w:rsid w:val="001A5CB7"/>
    <w:rsid w:val="001A61AC"/>
    <w:rsid w:val="001A6C2E"/>
    <w:rsid w:val="001A6E9F"/>
    <w:rsid w:val="001A7397"/>
    <w:rsid w:val="001A7963"/>
    <w:rsid w:val="001B1A98"/>
    <w:rsid w:val="001B1E6C"/>
    <w:rsid w:val="001B329E"/>
    <w:rsid w:val="001B69D2"/>
    <w:rsid w:val="001B6E38"/>
    <w:rsid w:val="001C0E9D"/>
    <w:rsid w:val="001C238B"/>
    <w:rsid w:val="001C4468"/>
    <w:rsid w:val="001C4EA7"/>
    <w:rsid w:val="001C7EE5"/>
    <w:rsid w:val="001D4268"/>
    <w:rsid w:val="001D57B4"/>
    <w:rsid w:val="001E3F73"/>
    <w:rsid w:val="001E53E6"/>
    <w:rsid w:val="001E5F30"/>
    <w:rsid w:val="001E7BA6"/>
    <w:rsid w:val="001E7E6D"/>
    <w:rsid w:val="001F039E"/>
    <w:rsid w:val="001F14E3"/>
    <w:rsid w:val="001F28C3"/>
    <w:rsid w:val="001F37BB"/>
    <w:rsid w:val="001F4FFE"/>
    <w:rsid w:val="001F7128"/>
    <w:rsid w:val="001F7515"/>
    <w:rsid w:val="00200406"/>
    <w:rsid w:val="002030D3"/>
    <w:rsid w:val="002046ED"/>
    <w:rsid w:val="0020639C"/>
    <w:rsid w:val="00206745"/>
    <w:rsid w:val="0020793D"/>
    <w:rsid w:val="00207E19"/>
    <w:rsid w:val="00210C5D"/>
    <w:rsid w:val="002110E9"/>
    <w:rsid w:val="00217033"/>
    <w:rsid w:val="0021735A"/>
    <w:rsid w:val="00221647"/>
    <w:rsid w:val="00222BB7"/>
    <w:rsid w:val="00223A3E"/>
    <w:rsid w:val="002333D4"/>
    <w:rsid w:val="002333E0"/>
    <w:rsid w:val="00233DD3"/>
    <w:rsid w:val="00234015"/>
    <w:rsid w:val="00234401"/>
    <w:rsid w:val="00234DEF"/>
    <w:rsid w:val="00242313"/>
    <w:rsid w:val="00246B84"/>
    <w:rsid w:val="00247735"/>
    <w:rsid w:val="00247B14"/>
    <w:rsid w:val="00252626"/>
    <w:rsid w:val="0025735E"/>
    <w:rsid w:val="002573CA"/>
    <w:rsid w:val="00260D03"/>
    <w:rsid w:val="00262BDE"/>
    <w:rsid w:val="00263CBF"/>
    <w:rsid w:val="0026499A"/>
    <w:rsid w:val="00266308"/>
    <w:rsid w:val="00266B30"/>
    <w:rsid w:val="00273E72"/>
    <w:rsid w:val="00274DA2"/>
    <w:rsid w:val="00275BBB"/>
    <w:rsid w:val="00281161"/>
    <w:rsid w:val="00281277"/>
    <w:rsid w:val="00281C9D"/>
    <w:rsid w:val="00282991"/>
    <w:rsid w:val="00282A33"/>
    <w:rsid w:val="00283103"/>
    <w:rsid w:val="002836F5"/>
    <w:rsid w:val="00284314"/>
    <w:rsid w:val="002862B8"/>
    <w:rsid w:val="002870BC"/>
    <w:rsid w:val="002879AC"/>
    <w:rsid w:val="0029005C"/>
    <w:rsid w:val="00291A15"/>
    <w:rsid w:val="00291A48"/>
    <w:rsid w:val="002953A1"/>
    <w:rsid w:val="00296F1F"/>
    <w:rsid w:val="002A36F6"/>
    <w:rsid w:val="002A4E74"/>
    <w:rsid w:val="002A558A"/>
    <w:rsid w:val="002A604B"/>
    <w:rsid w:val="002B44F8"/>
    <w:rsid w:val="002B7F02"/>
    <w:rsid w:val="002C0377"/>
    <w:rsid w:val="002C4433"/>
    <w:rsid w:val="002C4AED"/>
    <w:rsid w:val="002C7AC9"/>
    <w:rsid w:val="002D0FD0"/>
    <w:rsid w:val="002F114C"/>
    <w:rsid w:val="002F2354"/>
    <w:rsid w:val="002F3218"/>
    <w:rsid w:val="002F3CF3"/>
    <w:rsid w:val="002F5ADA"/>
    <w:rsid w:val="003027E1"/>
    <w:rsid w:val="00305430"/>
    <w:rsid w:val="003069C7"/>
    <w:rsid w:val="00310DFE"/>
    <w:rsid w:val="00312035"/>
    <w:rsid w:val="00312AF2"/>
    <w:rsid w:val="003148A3"/>
    <w:rsid w:val="003150E5"/>
    <w:rsid w:val="003150F6"/>
    <w:rsid w:val="00320A6C"/>
    <w:rsid w:val="00321019"/>
    <w:rsid w:val="00322155"/>
    <w:rsid w:val="00324670"/>
    <w:rsid w:val="003250AB"/>
    <w:rsid w:val="0032572D"/>
    <w:rsid w:val="00326DEA"/>
    <w:rsid w:val="00327684"/>
    <w:rsid w:val="003276F8"/>
    <w:rsid w:val="003308F1"/>
    <w:rsid w:val="00332AB1"/>
    <w:rsid w:val="00337550"/>
    <w:rsid w:val="00343D99"/>
    <w:rsid w:val="00345BA5"/>
    <w:rsid w:val="00345F64"/>
    <w:rsid w:val="00346B09"/>
    <w:rsid w:val="00346DF1"/>
    <w:rsid w:val="0035025D"/>
    <w:rsid w:val="00350355"/>
    <w:rsid w:val="00353662"/>
    <w:rsid w:val="0035402F"/>
    <w:rsid w:val="00354655"/>
    <w:rsid w:val="003564C9"/>
    <w:rsid w:val="00357EE6"/>
    <w:rsid w:val="0036176F"/>
    <w:rsid w:val="003635BC"/>
    <w:rsid w:val="00363B3A"/>
    <w:rsid w:val="003651F5"/>
    <w:rsid w:val="003667D1"/>
    <w:rsid w:val="00366DDF"/>
    <w:rsid w:val="003735B4"/>
    <w:rsid w:val="003743F9"/>
    <w:rsid w:val="003750AB"/>
    <w:rsid w:val="00377A7E"/>
    <w:rsid w:val="00382CED"/>
    <w:rsid w:val="00382DFC"/>
    <w:rsid w:val="003833E7"/>
    <w:rsid w:val="0038663F"/>
    <w:rsid w:val="003933A7"/>
    <w:rsid w:val="003961D2"/>
    <w:rsid w:val="003A2A40"/>
    <w:rsid w:val="003A5DD0"/>
    <w:rsid w:val="003B3A72"/>
    <w:rsid w:val="003B3DF5"/>
    <w:rsid w:val="003B4F4F"/>
    <w:rsid w:val="003B5E93"/>
    <w:rsid w:val="003B5F51"/>
    <w:rsid w:val="003B7DF4"/>
    <w:rsid w:val="003C06AC"/>
    <w:rsid w:val="003C1071"/>
    <w:rsid w:val="003D0520"/>
    <w:rsid w:val="003D1D27"/>
    <w:rsid w:val="003D2C84"/>
    <w:rsid w:val="003D3D33"/>
    <w:rsid w:val="003D452E"/>
    <w:rsid w:val="003D478D"/>
    <w:rsid w:val="003E204D"/>
    <w:rsid w:val="003E3D97"/>
    <w:rsid w:val="003E6078"/>
    <w:rsid w:val="003E6728"/>
    <w:rsid w:val="003F41ED"/>
    <w:rsid w:val="003F50D8"/>
    <w:rsid w:val="003F54BB"/>
    <w:rsid w:val="003F5D26"/>
    <w:rsid w:val="003F5D84"/>
    <w:rsid w:val="00403575"/>
    <w:rsid w:val="00404D32"/>
    <w:rsid w:val="0040616B"/>
    <w:rsid w:val="0040711F"/>
    <w:rsid w:val="004072FD"/>
    <w:rsid w:val="00407870"/>
    <w:rsid w:val="00407A8D"/>
    <w:rsid w:val="00410930"/>
    <w:rsid w:val="00410F37"/>
    <w:rsid w:val="004135CB"/>
    <w:rsid w:val="0041713E"/>
    <w:rsid w:val="00426E16"/>
    <w:rsid w:val="00435A35"/>
    <w:rsid w:val="00441095"/>
    <w:rsid w:val="004415A2"/>
    <w:rsid w:val="00441809"/>
    <w:rsid w:val="00445602"/>
    <w:rsid w:val="00445F2E"/>
    <w:rsid w:val="00451D9C"/>
    <w:rsid w:val="004561DD"/>
    <w:rsid w:val="00457055"/>
    <w:rsid w:val="00460A08"/>
    <w:rsid w:val="004613E1"/>
    <w:rsid w:val="00463E32"/>
    <w:rsid w:val="004746D9"/>
    <w:rsid w:val="0047472F"/>
    <w:rsid w:val="00475870"/>
    <w:rsid w:val="00475AF6"/>
    <w:rsid w:val="0047637D"/>
    <w:rsid w:val="00476ABF"/>
    <w:rsid w:val="004770BD"/>
    <w:rsid w:val="00477282"/>
    <w:rsid w:val="00481AD0"/>
    <w:rsid w:val="00482CA2"/>
    <w:rsid w:val="00483DDB"/>
    <w:rsid w:val="00484351"/>
    <w:rsid w:val="00487B4E"/>
    <w:rsid w:val="00490030"/>
    <w:rsid w:val="004906F4"/>
    <w:rsid w:val="00491A18"/>
    <w:rsid w:val="0049260D"/>
    <w:rsid w:val="004949A9"/>
    <w:rsid w:val="00496342"/>
    <w:rsid w:val="004A02BE"/>
    <w:rsid w:val="004A041D"/>
    <w:rsid w:val="004A0858"/>
    <w:rsid w:val="004A15D6"/>
    <w:rsid w:val="004A3F6F"/>
    <w:rsid w:val="004A5000"/>
    <w:rsid w:val="004A588D"/>
    <w:rsid w:val="004A7CBE"/>
    <w:rsid w:val="004B1090"/>
    <w:rsid w:val="004B36ED"/>
    <w:rsid w:val="004B7460"/>
    <w:rsid w:val="004C1067"/>
    <w:rsid w:val="004C1439"/>
    <w:rsid w:val="004C1F4D"/>
    <w:rsid w:val="004C228E"/>
    <w:rsid w:val="004C5A95"/>
    <w:rsid w:val="004C7AA6"/>
    <w:rsid w:val="004D088B"/>
    <w:rsid w:val="004D0B37"/>
    <w:rsid w:val="004D1329"/>
    <w:rsid w:val="004D651E"/>
    <w:rsid w:val="004E10A1"/>
    <w:rsid w:val="004E3189"/>
    <w:rsid w:val="004E354C"/>
    <w:rsid w:val="004E55B4"/>
    <w:rsid w:val="004E7563"/>
    <w:rsid w:val="004F1B2F"/>
    <w:rsid w:val="004F2123"/>
    <w:rsid w:val="004F5AB0"/>
    <w:rsid w:val="004F5ACC"/>
    <w:rsid w:val="004F7794"/>
    <w:rsid w:val="00500595"/>
    <w:rsid w:val="005024FC"/>
    <w:rsid w:val="00504C3F"/>
    <w:rsid w:val="00504F9D"/>
    <w:rsid w:val="00505467"/>
    <w:rsid w:val="00513D8D"/>
    <w:rsid w:val="00514894"/>
    <w:rsid w:val="005172FF"/>
    <w:rsid w:val="00520485"/>
    <w:rsid w:val="00521010"/>
    <w:rsid w:val="005254A8"/>
    <w:rsid w:val="0052767B"/>
    <w:rsid w:val="00532BD7"/>
    <w:rsid w:val="0053354E"/>
    <w:rsid w:val="005338AF"/>
    <w:rsid w:val="0053518A"/>
    <w:rsid w:val="0053567F"/>
    <w:rsid w:val="00536D38"/>
    <w:rsid w:val="00537097"/>
    <w:rsid w:val="0053718B"/>
    <w:rsid w:val="00537BAA"/>
    <w:rsid w:val="00540948"/>
    <w:rsid w:val="005420B1"/>
    <w:rsid w:val="00543E1F"/>
    <w:rsid w:val="00544ABC"/>
    <w:rsid w:val="0055058A"/>
    <w:rsid w:val="00551230"/>
    <w:rsid w:val="00554133"/>
    <w:rsid w:val="005551E3"/>
    <w:rsid w:val="005556A5"/>
    <w:rsid w:val="005557D7"/>
    <w:rsid w:val="005558D1"/>
    <w:rsid w:val="00556FE2"/>
    <w:rsid w:val="00562BE0"/>
    <w:rsid w:val="005648D2"/>
    <w:rsid w:val="00565E0D"/>
    <w:rsid w:val="00573698"/>
    <w:rsid w:val="00576A14"/>
    <w:rsid w:val="00577EA2"/>
    <w:rsid w:val="00580CB5"/>
    <w:rsid w:val="00581758"/>
    <w:rsid w:val="005836CC"/>
    <w:rsid w:val="005843CC"/>
    <w:rsid w:val="00584F5F"/>
    <w:rsid w:val="00585950"/>
    <w:rsid w:val="00591092"/>
    <w:rsid w:val="005916EB"/>
    <w:rsid w:val="00592DBC"/>
    <w:rsid w:val="005931DE"/>
    <w:rsid w:val="005943FB"/>
    <w:rsid w:val="00596B84"/>
    <w:rsid w:val="00597ABD"/>
    <w:rsid w:val="005A00A8"/>
    <w:rsid w:val="005A129F"/>
    <w:rsid w:val="005B0644"/>
    <w:rsid w:val="005B3EDE"/>
    <w:rsid w:val="005B4F55"/>
    <w:rsid w:val="005B6942"/>
    <w:rsid w:val="005B7E6C"/>
    <w:rsid w:val="005C00F2"/>
    <w:rsid w:val="005C09C1"/>
    <w:rsid w:val="005C219F"/>
    <w:rsid w:val="005C4DAE"/>
    <w:rsid w:val="005D06DF"/>
    <w:rsid w:val="005D1117"/>
    <w:rsid w:val="005D6383"/>
    <w:rsid w:val="005E322E"/>
    <w:rsid w:val="005E33BF"/>
    <w:rsid w:val="005E3644"/>
    <w:rsid w:val="005E6EF2"/>
    <w:rsid w:val="005F5C7E"/>
    <w:rsid w:val="005F6177"/>
    <w:rsid w:val="005F64A0"/>
    <w:rsid w:val="00603D10"/>
    <w:rsid w:val="00607FCB"/>
    <w:rsid w:val="00615224"/>
    <w:rsid w:val="0062285B"/>
    <w:rsid w:val="006238FE"/>
    <w:rsid w:val="00624B01"/>
    <w:rsid w:val="006255E9"/>
    <w:rsid w:val="00633A1A"/>
    <w:rsid w:val="0063497B"/>
    <w:rsid w:val="0064178E"/>
    <w:rsid w:val="006472A4"/>
    <w:rsid w:val="00650F95"/>
    <w:rsid w:val="00651F30"/>
    <w:rsid w:val="006529AD"/>
    <w:rsid w:val="006538D9"/>
    <w:rsid w:val="006545E0"/>
    <w:rsid w:val="00657B99"/>
    <w:rsid w:val="006604AD"/>
    <w:rsid w:val="00661272"/>
    <w:rsid w:val="006628C1"/>
    <w:rsid w:val="00663946"/>
    <w:rsid w:val="006641A6"/>
    <w:rsid w:val="006667CB"/>
    <w:rsid w:val="00667F0D"/>
    <w:rsid w:val="00671B39"/>
    <w:rsid w:val="00673232"/>
    <w:rsid w:val="006822FD"/>
    <w:rsid w:val="00682418"/>
    <w:rsid w:val="00682FD7"/>
    <w:rsid w:val="006848D9"/>
    <w:rsid w:val="00684AC9"/>
    <w:rsid w:val="0068750C"/>
    <w:rsid w:val="00691B8C"/>
    <w:rsid w:val="006926CB"/>
    <w:rsid w:val="00694782"/>
    <w:rsid w:val="00696110"/>
    <w:rsid w:val="006969EC"/>
    <w:rsid w:val="00697EF9"/>
    <w:rsid w:val="006A012D"/>
    <w:rsid w:val="006A1974"/>
    <w:rsid w:val="006A22BA"/>
    <w:rsid w:val="006A2C30"/>
    <w:rsid w:val="006A3059"/>
    <w:rsid w:val="006A38AE"/>
    <w:rsid w:val="006A3A29"/>
    <w:rsid w:val="006B1247"/>
    <w:rsid w:val="006B1636"/>
    <w:rsid w:val="006B208A"/>
    <w:rsid w:val="006B5687"/>
    <w:rsid w:val="006B5C3D"/>
    <w:rsid w:val="006C342E"/>
    <w:rsid w:val="006C3891"/>
    <w:rsid w:val="006C4DFA"/>
    <w:rsid w:val="006C6E9C"/>
    <w:rsid w:val="006C731F"/>
    <w:rsid w:val="006D11AD"/>
    <w:rsid w:val="006D2D01"/>
    <w:rsid w:val="006D5BC5"/>
    <w:rsid w:val="006D610B"/>
    <w:rsid w:val="006E1053"/>
    <w:rsid w:val="006E2FAC"/>
    <w:rsid w:val="006E5E92"/>
    <w:rsid w:val="006E66F4"/>
    <w:rsid w:val="006F2A03"/>
    <w:rsid w:val="006F6182"/>
    <w:rsid w:val="00700E8A"/>
    <w:rsid w:val="007110F0"/>
    <w:rsid w:val="007119BD"/>
    <w:rsid w:val="0071399E"/>
    <w:rsid w:val="00713D63"/>
    <w:rsid w:val="00713FEB"/>
    <w:rsid w:val="007173A7"/>
    <w:rsid w:val="00721E51"/>
    <w:rsid w:val="00724413"/>
    <w:rsid w:val="00724693"/>
    <w:rsid w:val="00725F83"/>
    <w:rsid w:val="00726385"/>
    <w:rsid w:val="00732B75"/>
    <w:rsid w:val="00735BE0"/>
    <w:rsid w:val="0074066D"/>
    <w:rsid w:val="00743554"/>
    <w:rsid w:val="00744872"/>
    <w:rsid w:val="0074489A"/>
    <w:rsid w:val="00752A66"/>
    <w:rsid w:val="00752E65"/>
    <w:rsid w:val="00764B6D"/>
    <w:rsid w:val="0076683D"/>
    <w:rsid w:val="0077076D"/>
    <w:rsid w:val="00772A4B"/>
    <w:rsid w:val="00773424"/>
    <w:rsid w:val="007735FE"/>
    <w:rsid w:val="00777A85"/>
    <w:rsid w:val="00777C88"/>
    <w:rsid w:val="00780048"/>
    <w:rsid w:val="007816DD"/>
    <w:rsid w:val="0078193D"/>
    <w:rsid w:val="0078298F"/>
    <w:rsid w:val="00782B65"/>
    <w:rsid w:val="00784DB2"/>
    <w:rsid w:val="00786625"/>
    <w:rsid w:val="007914DC"/>
    <w:rsid w:val="00791A41"/>
    <w:rsid w:val="0079449B"/>
    <w:rsid w:val="00794721"/>
    <w:rsid w:val="00794BBA"/>
    <w:rsid w:val="00794C9B"/>
    <w:rsid w:val="0079534D"/>
    <w:rsid w:val="0079587E"/>
    <w:rsid w:val="00797CC2"/>
    <w:rsid w:val="007A2B6B"/>
    <w:rsid w:val="007A4BCC"/>
    <w:rsid w:val="007A59A5"/>
    <w:rsid w:val="007B1A98"/>
    <w:rsid w:val="007B1ABC"/>
    <w:rsid w:val="007B5006"/>
    <w:rsid w:val="007C0EE4"/>
    <w:rsid w:val="007C1263"/>
    <w:rsid w:val="007C2545"/>
    <w:rsid w:val="007C44DC"/>
    <w:rsid w:val="007C6F14"/>
    <w:rsid w:val="007D0C44"/>
    <w:rsid w:val="007D13BB"/>
    <w:rsid w:val="007D2495"/>
    <w:rsid w:val="007D5EAC"/>
    <w:rsid w:val="007D7AD6"/>
    <w:rsid w:val="007D7EBB"/>
    <w:rsid w:val="007E248C"/>
    <w:rsid w:val="007E477D"/>
    <w:rsid w:val="007E75B9"/>
    <w:rsid w:val="007F0397"/>
    <w:rsid w:val="007F414A"/>
    <w:rsid w:val="007F4B11"/>
    <w:rsid w:val="007F55B5"/>
    <w:rsid w:val="007F5BEC"/>
    <w:rsid w:val="007F63BC"/>
    <w:rsid w:val="007F6A23"/>
    <w:rsid w:val="007F6ECD"/>
    <w:rsid w:val="00803618"/>
    <w:rsid w:val="00804C1F"/>
    <w:rsid w:val="0080527E"/>
    <w:rsid w:val="008074AE"/>
    <w:rsid w:val="00814484"/>
    <w:rsid w:val="0081740D"/>
    <w:rsid w:val="00820D5F"/>
    <w:rsid w:val="0082656A"/>
    <w:rsid w:val="008316B3"/>
    <w:rsid w:val="00832023"/>
    <w:rsid w:val="00832AE4"/>
    <w:rsid w:val="00833E83"/>
    <w:rsid w:val="00834B77"/>
    <w:rsid w:val="00835BE9"/>
    <w:rsid w:val="00836057"/>
    <w:rsid w:val="00840F44"/>
    <w:rsid w:val="00841422"/>
    <w:rsid w:val="00841852"/>
    <w:rsid w:val="008434D2"/>
    <w:rsid w:val="00845210"/>
    <w:rsid w:val="00845A89"/>
    <w:rsid w:val="00846BD1"/>
    <w:rsid w:val="0084726F"/>
    <w:rsid w:val="008560F8"/>
    <w:rsid w:val="00860C67"/>
    <w:rsid w:val="00863120"/>
    <w:rsid w:val="008642F2"/>
    <w:rsid w:val="00864A43"/>
    <w:rsid w:val="00867A84"/>
    <w:rsid w:val="008773F3"/>
    <w:rsid w:val="00882013"/>
    <w:rsid w:val="00882843"/>
    <w:rsid w:val="00882A2C"/>
    <w:rsid w:val="0088370B"/>
    <w:rsid w:val="00884F56"/>
    <w:rsid w:val="00886806"/>
    <w:rsid w:val="00886EEC"/>
    <w:rsid w:val="00890187"/>
    <w:rsid w:val="0089028D"/>
    <w:rsid w:val="008933C7"/>
    <w:rsid w:val="008936A8"/>
    <w:rsid w:val="00893CE2"/>
    <w:rsid w:val="0089644B"/>
    <w:rsid w:val="00897EB0"/>
    <w:rsid w:val="008A5AC6"/>
    <w:rsid w:val="008A6EB5"/>
    <w:rsid w:val="008A786A"/>
    <w:rsid w:val="008B2552"/>
    <w:rsid w:val="008B320D"/>
    <w:rsid w:val="008B3580"/>
    <w:rsid w:val="008B4D28"/>
    <w:rsid w:val="008B5B61"/>
    <w:rsid w:val="008B6673"/>
    <w:rsid w:val="008C0B64"/>
    <w:rsid w:val="008C29B3"/>
    <w:rsid w:val="008C60AB"/>
    <w:rsid w:val="008C6C97"/>
    <w:rsid w:val="008D12E3"/>
    <w:rsid w:val="008D21DB"/>
    <w:rsid w:val="008D390F"/>
    <w:rsid w:val="008D4B7A"/>
    <w:rsid w:val="008D5837"/>
    <w:rsid w:val="008D76C0"/>
    <w:rsid w:val="008E27DE"/>
    <w:rsid w:val="008E3714"/>
    <w:rsid w:val="008F00A4"/>
    <w:rsid w:val="008F267D"/>
    <w:rsid w:val="008F2E0E"/>
    <w:rsid w:val="008F372B"/>
    <w:rsid w:val="008F3B68"/>
    <w:rsid w:val="008F65D3"/>
    <w:rsid w:val="00900409"/>
    <w:rsid w:val="009012BC"/>
    <w:rsid w:val="0090138B"/>
    <w:rsid w:val="0091073D"/>
    <w:rsid w:val="009107BF"/>
    <w:rsid w:val="0091082B"/>
    <w:rsid w:val="00910CB6"/>
    <w:rsid w:val="00912B5F"/>
    <w:rsid w:val="00913339"/>
    <w:rsid w:val="00914E6E"/>
    <w:rsid w:val="00915D92"/>
    <w:rsid w:val="00916336"/>
    <w:rsid w:val="009205B6"/>
    <w:rsid w:val="00920CEB"/>
    <w:rsid w:val="00924632"/>
    <w:rsid w:val="00924D81"/>
    <w:rsid w:val="00925E24"/>
    <w:rsid w:val="00936C41"/>
    <w:rsid w:val="009408F2"/>
    <w:rsid w:val="00941FA2"/>
    <w:rsid w:val="00942090"/>
    <w:rsid w:val="0094330C"/>
    <w:rsid w:val="009444C9"/>
    <w:rsid w:val="0094546E"/>
    <w:rsid w:val="009457EC"/>
    <w:rsid w:val="0094795A"/>
    <w:rsid w:val="0095269D"/>
    <w:rsid w:val="00954340"/>
    <w:rsid w:val="00955535"/>
    <w:rsid w:val="009564F7"/>
    <w:rsid w:val="00956DB8"/>
    <w:rsid w:val="00956FA0"/>
    <w:rsid w:val="00960B99"/>
    <w:rsid w:val="0096244D"/>
    <w:rsid w:val="00965D3C"/>
    <w:rsid w:val="0096655D"/>
    <w:rsid w:val="00967CCD"/>
    <w:rsid w:val="00970B98"/>
    <w:rsid w:val="009726DD"/>
    <w:rsid w:val="00972928"/>
    <w:rsid w:val="009739BF"/>
    <w:rsid w:val="00974D66"/>
    <w:rsid w:val="009760C2"/>
    <w:rsid w:val="009765B4"/>
    <w:rsid w:val="00981830"/>
    <w:rsid w:val="00981DC0"/>
    <w:rsid w:val="009834A6"/>
    <w:rsid w:val="00986240"/>
    <w:rsid w:val="00986B7B"/>
    <w:rsid w:val="0098739C"/>
    <w:rsid w:val="00993176"/>
    <w:rsid w:val="00995F76"/>
    <w:rsid w:val="00997164"/>
    <w:rsid w:val="009A2874"/>
    <w:rsid w:val="009A5C4B"/>
    <w:rsid w:val="009A6D3B"/>
    <w:rsid w:val="009A6F86"/>
    <w:rsid w:val="009B1E56"/>
    <w:rsid w:val="009B5DCE"/>
    <w:rsid w:val="009B7630"/>
    <w:rsid w:val="009B795A"/>
    <w:rsid w:val="009C022E"/>
    <w:rsid w:val="009C3F6B"/>
    <w:rsid w:val="009C46E7"/>
    <w:rsid w:val="009C4CD7"/>
    <w:rsid w:val="009C704A"/>
    <w:rsid w:val="009C7409"/>
    <w:rsid w:val="009C773A"/>
    <w:rsid w:val="009C7FBC"/>
    <w:rsid w:val="009D1E0F"/>
    <w:rsid w:val="009D5996"/>
    <w:rsid w:val="009E079B"/>
    <w:rsid w:val="009E3784"/>
    <w:rsid w:val="009E4A22"/>
    <w:rsid w:val="009F05A5"/>
    <w:rsid w:val="009F11AF"/>
    <w:rsid w:val="009F3C2A"/>
    <w:rsid w:val="009F43D4"/>
    <w:rsid w:val="009F5156"/>
    <w:rsid w:val="009F5AD1"/>
    <w:rsid w:val="009F7B69"/>
    <w:rsid w:val="00A023AA"/>
    <w:rsid w:val="00A025BC"/>
    <w:rsid w:val="00A03014"/>
    <w:rsid w:val="00A10BE4"/>
    <w:rsid w:val="00A129AB"/>
    <w:rsid w:val="00A12BA2"/>
    <w:rsid w:val="00A13754"/>
    <w:rsid w:val="00A14CB3"/>
    <w:rsid w:val="00A15397"/>
    <w:rsid w:val="00A21608"/>
    <w:rsid w:val="00A2204D"/>
    <w:rsid w:val="00A2328D"/>
    <w:rsid w:val="00A25DC7"/>
    <w:rsid w:val="00A25F81"/>
    <w:rsid w:val="00A3065F"/>
    <w:rsid w:val="00A31EEE"/>
    <w:rsid w:val="00A33805"/>
    <w:rsid w:val="00A33AC9"/>
    <w:rsid w:val="00A35A6B"/>
    <w:rsid w:val="00A363C9"/>
    <w:rsid w:val="00A3646F"/>
    <w:rsid w:val="00A36EF2"/>
    <w:rsid w:val="00A3712D"/>
    <w:rsid w:val="00A403A0"/>
    <w:rsid w:val="00A4073D"/>
    <w:rsid w:val="00A41247"/>
    <w:rsid w:val="00A43882"/>
    <w:rsid w:val="00A4394D"/>
    <w:rsid w:val="00A4563F"/>
    <w:rsid w:val="00A4748C"/>
    <w:rsid w:val="00A47D52"/>
    <w:rsid w:val="00A50A06"/>
    <w:rsid w:val="00A51C8F"/>
    <w:rsid w:val="00A52366"/>
    <w:rsid w:val="00A54CF9"/>
    <w:rsid w:val="00A613B7"/>
    <w:rsid w:val="00A624AE"/>
    <w:rsid w:val="00A638FD"/>
    <w:rsid w:val="00A64C3E"/>
    <w:rsid w:val="00A66420"/>
    <w:rsid w:val="00A72FB2"/>
    <w:rsid w:val="00A7566D"/>
    <w:rsid w:val="00A75C53"/>
    <w:rsid w:val="00A76225"/>
    <w:rsid w:val="00A772F6"/>
    <w:rsid w:val="00A776F2"/>
    <w:rsid w:val="00A80382"/>
    <w:rsid w:val="00A80499"/>
    <w:rsid w:val="00A80652"/>
    <w:rsid w:val="00A80D74"/>
    <w:rsid w:val="00A83EE7"/>
    <w:rsid w:val="00A8402B"/>
    <w:rsid w:val="00A87D2A"/>
    <w:rsid w:val="00A90012"/>
    <w:rsid w:val="00A9059F"/>
    <w:rsid w:val="00A91317"/>
    <w:rsid w:val="00A94D0A"/>
    <w:rsid w:val="00A95070"/>
    <w:rsid w:val="00A95F4F"/>
    <w:rsid w:val="00A9780C"/>
    <w:rsid w:val="00AA420D"/>
    <w:rsid w:val="00AA4F37"/>
    <w:rsid w:val="00AA7466"/>
    <w:rsid w:val="00AB09C2"/>
    <w:rsid w:val="00AB235A"/>
    <w:rsid w:val="00AB2B35"/>
    <w:rsid w:val="00AB5CC8"/>
    <w:rsid w:val="00AC0481"/>
    <w:rsid w:val="00AC43E4"/>
    <w:rsid w:val="00AD0EB8"/>
    <w:rsid w:val="00AD1DF5"/>
    <w:rsid w:val="00AD42C2"/>
    <w:rsid w:val="00AD479A"/>
    <w:rsid w:val="00AD539A"/>
    <w:rsid w:val="00AE2586"/>
    <w:rsid w:val="00AE2F58"/>
    <w:rsid w:val="00AE4B4D"/>
    <w:rsid w:val="00AE55C8"/>
    <w:rsid w:val="00AE612C"/>
    <w:rsid w:val="00AE7126"/>
    <w:rsid w:val="00AE79AD"/>
    <w:rsid w:val="00AF0C05"/>
    <w:rsid w:val="00AF6E3B"/>
    <w:rsid w:val="00B038D6"/>
    <w:rsid w:val="00B0491F"/>
    <w:rsid w:val="00B0509E"/>
    <w:rsid w:val="00B068BA"/>
    <w:rsid w:val="00B07002"/>
    <w:rsid w:val="00B078A6"/>
    <w:rsid w:val="00B11039"/>
    <w:rsid w:val="00B11405"/>
    <w:rsid w:val="00B130BF"/>
    <w:rsid w:val="00B138AA"/>
    <w:rsid w:val="00B13E0D"/>
    <w:rsid w:val="00B22D34"/>
    <w:rsid w:val="00B23701"/>
    <w:rsid w:val="00B263BE"/>
    <w:rsid w:val="00B32617"/>
    <w:rsid w:val="00B34D1F"/>
    <w:rsid w:val="00B40C22"/>
    <w:rsid w:val="00B41299"/>
    <w:rsid w:val="00B41CBD"/>
    <w:rsid w:val="00B455F6"/>
    <w:rsid w:val="00B46C89"/>
    <w:rsid w:val="00B479F9"/>
    <w:rsid w:val="00B542F7"/>
    <w:rsid w:val="00B56D54"/>
    <w:rsid w:val="00B60489"/>
    <w:rsid w:val="00B611B2"/>
    <w:rsid w:val="00B64745"/>
    <w:rsid w:val="00B677CC"/>
    <w:rsid w:val="00B73786"/>
    <w:rsid w:val="00B76F5A"/>
    <w:rsid w:val="00B775C6"/>
    <w:rsid w:val="00B811CF"/>
    <w:rsid w:val="00B8224D"/>
    <w:rsid w:val="00B85D77"/>
    <w:rsid w:val="00B86C3E"/>
    <w:rsid w:val="00B905FB"/>
    <w:rsid w:val="00B91100"/>
    <w:rsid w:val="00B920CD"/>
    <w:rsid w:val="00B92F79"/>
    <w:rsid w:val="00BA1726"/>
    <w:rsid w:val="00BA3560"/>
    <w:rsid w:val="00BA6797"/>
    <w:rsid w:val="00BA67B4"/>
    <w:rsid w:val="00BB093D"/>
    <w:rsid w:val="00BB1A04"/>
    <w:rsid w:val="00BB2744"/>
    <w:rsid w:val="00BC070E"/>
    <w:rsid w:val="00BC211F"/>
    <w:rsid w:val="00BC7898"/>
    <w:rsid w:val="00BD1A4B"/>
    <w:rsid w:val="00BD33AE"/>
    <w:rsid w:val="00BD42A1"/>
    <w:rsid w:val="00BD437B"/>
    <w:rsid w:val="00BD655D"/>
    <w:rsid w:val="00BD6709"/>
    <w:rsid w:val="00BE0043"/>
    <w:rsid w:val="00BE1890"/>
    <w:rsid w:val="00BE1EB9"/>
    <w:rsid w:val="00BE64B6"/>
    <w:rsid w:val="00BE6662"/>
    <w:rsid w:val="00BF273C"/>
    <w:rsid w:val="00BF33F4"/>
    <w:rsid w:val="00BF3D7B"/>
    <w:rsid w:val="00BF4B67"/>
    <w:rsid w:val="00BF4EFE"/>
    <w:rsid w:val="00BF6770"/>
    <w:rsid w:val="00C00392"/>
    <w:rsid w:val="00C021D6"/>
    <w:rsid w:val="00C04A41"/>
    <w:rsid w:val="00C07F95"/>
    <w:rsid w:val="00C1191D"/>
    <w:rsid w:val="00C13EEE"/>
    <w:rsid w:val="00C1471D"/>
    <w:rsid w:val="00C172D6"/>
    <w:rsid w:val="00C1786C"/>
    <w:rsid w:val="00C23276"/>
    <w:rsid w:val="00C23367"/>
    <w:rsid w:val="00C25BC5"/>
    <w:rsid w:val="00C25C63"/>
    <w:rsid w:val="00C30BDD"/>
    <w:rsid w:val="00C313A3"/>
    <w:rsid w:val="00C31730"/>
    <w:rsid w:val="00C334C2"/>
    <w:rsid w:val="00C33D73"/>
    <w:rsid w:val="00C350F1"/>
    <w:rsid w:val="00C36EDC"/>
    <w:rsid w:val="00C406FE"/>
    <w:rsid w:val="00C41490"/>
    <w:rsid w:val="00C4448B"/>
    <w:rsid w:val="00C47253"/>
    <w:rsid w:val="00C47EC8"/>
    <w:rsid w:val="00C517F6"/>
    <w:rsid w:val="00C613DC"/>
    <w:rsid w:val="00C63004"/>
    <w:rsid w:val="00C63B9B"/>
    <w:rsid w:val="00C70926"/>
    <w:rsid w:val="00C70A22"/>
    <w:rsid w:val="00C7177D"/>
    <w:rsid w:val="00C731F2"/>
    <w:rsid w:val="00C73C0F"/>
    <w:rsid w:val="00C80846"/>
    <w:rsid w:val="00C82DC0"/>
    <w:rsid w:val="00C83919"/>
    <w:rsid w:val="00C851B3"/>
    <w:rsid w:val="00C8799E"/>
    <w:rsid w:val="00C9103B"/>
    <w:rsid w:val="00C92DAB"/>
    <w:rsid w:val="00CA0238"/>
    <w:rsid w:val="00CA1C27"/>
    <w:rsid w:val="00CA5E72"/>
    <w:rsid w:val="00CA6B00"/>
    <w:rsid w:val="00CB0998"/>
    <w:rsid w:val="00CB1059"/>
    <w:rsid w:val="00CB22AC"/>
    <w:rsid w:val="00CB2D23"/>
    <w:rsid w:val="00CC17E0"/>
    <w:rsid w:val="00CC4248"/>
    <w:rsid w:val="00CC4532"/>
    <w:rsid w:val="00CC45D7"/>
    <w:rsid w:val="00CC5F9C"/>
    <w:rsid w:val="00CC6748"/>
    <w:rsid w:val="00CC7F96"/>
    <w:rsid w:val="00CD5313"/>
    <w:rsid w:val="00CD6E3E"/>
    <w:rsid w:val="00CE586C"/>
    <w:rsid w:val="00CE652E"/>
    <w:rsid w:val="00CF00DB"/>
    <w:rsid w:val="00CF0980"/>
    <w:rsid w:val="00CF15F1"/>
    <w:rsid w:val="00CF27AC"/>
    <w:rsid w:val="00CF49D0"/>
    <w:rsid w:val="00CF7FE5"/>
    <w:rsid w:val="00D00572"/>
    <w:rsid w:val="00D1548A"/>
    <w:rsid w:val="00D172EA"/>
    <w:rsid w:val="00D20481"/>
    <w:rsid w:val="00D21ADA"/>
    <w:rsid w:val="00D223CF"/>
    <w:rsid w:val="00D303ED"/>
    <w:rsid w:val="00D32F24"/>
    <w:rsid w:val="00D35792"/>
    <w:rsid w:val="00D35A46"/>
    <w:rsid w:val="00D37B37"/>
    <w:rsid w:val="00D41C08"/>
    <w:rsid w:val="00D41DDF"/>
    <w:rsid w:val="00D435B9"/>
    <w:rsid w:val="00D43F9F"/>
    <w:rsid w:val="00D44A75"/>
    <w:rsid w:val="00D454F4"/>
    <w:rsid w:val="00D46279"/>
    <w:rsid w:val="00D47704"/>
    <w:rsid w:val="00D547B9"/>
    <w:rsid w:val="00D54A2C"/>
    <w:rsid w:val="00D57AF0"/>
    <w:rsid w:val="00D61759"/>
    <w:rsid w:val="00D61F7D"/>
    <w:rsid w:val="00D63342"/>
    <w:rsid w:val="00D64344"/>
    <w:rsid w:val="00D64898"/>
    <w:rsid w:val="00D70805"/>
    <w:rsid w:val="00D7172B"/>
    <w:rsid w:val="00D7208E"/>
    <w:rsid w:val="00D77AD3"/>
    <w:rsid w:val="00D8052F"/>
    <w:rsid w:val="00D856AD"/>
    <w:rsid w:val="00D86561"/>
    <w:rsid w:val="00D86DA8"/>
    <w:rsid w:val="00D90E83"/>
    <w:rsid w:val="00D92FD1"/>
    <w:rsid w:val="00D9322E"/>
    <w:rsid w:val="00D95A4E"/>
    <w:rsid w:val="00D95DD0"/>
    <w:rsid w:val="00D96236"/>
    <w:rsid w:val="00D97901"/>
    <w:rsid w:val="00DA16CC"/>
    <w:rsid w:val="00DA3633"/>
    <w:rsid w:val="00DA5EE1"/>
    <w:rsid w:val="00DA7636"/>
    <w:rsid w:val="00DB0906"/>
    <w:rsid w:val="00DB1FB1"/>
    <w:rsid w:val="00DB20C8"/>
    <w:rsid w:val="00DB6B1E"/>
    <w:rsid w:val="00DC3431"/>
    <w:rsid w:val="00DC53D6"/>
    <w:rsid w:val="00DC6F53"/>
    <w:rsid w:val="00DD2FA4"/>
    <w:rsid w:val="00DD5C70"/>
    <w:rsid w:val="00DE0C9F"/>
    <w:rsid w:val="00DF034F"/>
    <w:rsid w:val="00DF120E"/>
    <w:rsid w:val="00DF179C"/>
    <w:rsid w:val="00DF4FF8"/>
    <w:rsid w:val="00DF5767"/>
    <w:rsid w:val="00E00197"/>
    <w:rsid w:val="00E00CD3"/>
    <w:rsid w:val="00E03E00"/>
    <w:rsid w:val="00E10452"/>
    <w:rsid w:val="00E153C4"/>
    <w:rsid w:val="00E16A01"/>
    <w:rsid w:val="00E16C58"/>
    <w:rsid w:val="00E24669"/>
    <w:rsid w:val="00E33457"/>
    <w:rsid w:val="00E33B0E"/>
    <w:rsid w:val="00E3434D"/>
    <w:rsid w:val="00E34404"/>
    <w:rsid w:val="00E3742C"/>
    <w:rsid w:val="00E40CFD"/>
    <w:rsid w:val="00E42475"/>
    <w:rsid w:val="00E42593"/>
    <w:rsid w:val="00E4410C"/>
    <w:rsid w:val="00E47901"/>
    <w:rsid w:val="00E50AB5"/>
    <w:rsid w:val="00E50CCA"/>
    <w:rsid w:val="00E51ECA"/>
    <w:rsid w:val="00E53DD1"/>
    <w:rsid w:val="00E56D89"/>
    <w:rsid w:val="00E61709"/>
    <w:rsid w:val="00E6335A"/>
    <w:rsid w:val="00E661DE"/>
    <w:rsid w:val="00E677E1"/>
    <w:rsid w:val="00E70307"/>
    <w:rsid w:val="00E7108B"/>
    <w:rsid w:val="00E73BE9"/>
    <w:rsid w:val="00E75B0A"/>
    <w:rsid w:val="00E76141"/>
    <w:rsid w:val="00E8015F"/>
    <w:rsid w:val="00E85DD5"/>
    <w:rsid w:val="00E86C8D"/>
    <w:rsid w:val="00E8778E"/>
    <w:rsid w:val="00E902B9"/>
    <w:rsid w:val="00E95668"/>
    <w:rsid w:val="00E97381"/>
    <w:rsid w:val="00EA0812"/>
    <w:rsid w:val="00EA2678"/>
    <w:rsid w:val="00EA4C83"/>
    <w:rsid w:val="00EA4E66"/>
    <w:rsid w:val="00EA5DC3"/>
    <w:rsid w:val="00EB0548"/>
    <w:rsid w:val="00EB24A8"/>
    <w:rsid w:val="00EB25C1"/>
    <w:rsid w:val="00EB3C3B"/>
    <w:rsid w:val="00EB49E9"/>
    <w:rsid w:val="00EB5C6C"/>
    <w:rsid w:val="00EB6CFC"/>
    <w:rsid w:val="00EC0004"/>
    <w:rsid w:val="00EC0728"/>
    <w:rsid w:val="00EC7991"/>
    <w:rsid w:val="00ED1F87"/>
    <w:rsid w:val="00ED4B60"/>
    <w:rsid w:val="00ED4E06"/>
    <w:rsid w:val="00ED622E"/>
    <w:rsid w:val="00ED7366"/>
    <w:rsid w:val="00EE33E9"/>
    <w:rsid w:val="00EE4EC0"/>
    <w:rsid w:val="00EE537A"/>
    <w:rsid w:val="00EE5960"/>
    <w:rsid w:val="00EE6143"/>
    <w:rsid w:val="00EE77DB"/>
    <w:rsid w:val="00EF4903"/>
    <w:rsid w:val="00F10EDF"/>
    <w:rsid w:val="00F153DB"/>
    <w:rsid w:val="00F179FD"/>
    <w:rsid w:val="00F22229"/>
    <w:rsid w:val="00F23CE6"/>
    <w:rsid w:val="00F3571E"/>
    <w:rsid w:val="00F4252A"/>
    <w:rsid w:val="00F428BA"/>
    <w:rsid w:val="00F450F0"/>
    <w:rsid w:val="00F45AFC"/>
    <w:rsid w:val="00F4742C"/>
    <w:rsid w:val="00F476EA"/>
    <w:rsid w:val="00F53B2E"/>
    <w:rsid w:val="00F567D6"/>
    <w:rsid w:val="00F57B33"/>
    <w:rsid w:val="00F60110"/>
    <w:rsid w:val="00F622F7"/>
    <w:rsid w:val="00F668B1"/>
    <w:rsid w:val="00F7078B"/>
    <w:rsid w:val="00F802B4"/>
    <w:rsid w:val="00F82A15"/>
    <w:rsid w:val="00F871AF"/>
    <w:rsid w:val="00F876E8"/>
    <w:rsid w:val="00F93AB1"/>
    <w:rsid w:val="00F94741"/>
    <w:rsid w:val="00FA77E7"/>
    <w:rsid w:val="00FB0847"/>
    <w:rsid w:val="00FB147B"/>
    <w:rsid w:val="00FB384C"/>
    <w:rsid w:val="00FB3EC3"/>
    <w:rsid w:val="00FB4555"/>
    <w:rsid w:val="00FC4BD2"/>
    <w:rsid w:val="00FC5BA2"/>
    <w:rsid w:val="00FC66CB"/>
    <w:rsid w:val="00FC6948"/>
    <w:rsid w:val="00FD092E"/>
    <w:rsid w:val="00FD216B"/>
    <w:rsid w:val="00FD4C05"/>
    <w:rsid w:val="00FD790E"/>
    <w:rsid w:val="00FE1711"/>
    <w:rsid w:val="00FE3082"/>
    <w:rsid w:val="00FE4E78"/>
    <w:rsid w:val="00FE5A41"/>
    <w:rsid w:val="00FE6A5D"/>
    <w:rsid w:val="00FE781A"/>
    <w:rsid w:val="00FF2EE9"/>
    <w:rsid w:val="00FF51E4"/>
    <w:rsid w:val="073E37A1"/>
    <w:rsid w:val="0E0C21BD"/>
    <w:rsid w:val="258778A8"/>
    <w:rsid w:val="279815D8"/>
    <w:rsid w:val="390F5488"/>
    <w:rsid w:val="3C932C24"/>
    <w:rsid w:val="3DB30AC2"/>
    <w:rsid w:val="5779459D"/>
    <w:rsid w:val="6EDA7328"/>
    <w:rsid w:val="6F807DE9"/>
    <w:rsid w:val="77F21F94"/>
    <w:rsid w:val="7AA31F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jc w:val="center"/>
      <w:outlineLvl w:val="0"/>
    </w:pPr>
    <w:rPr>
      <w:rFonts w:ascii="方正小标宋简体" w:eastAsia="方正小标宋简体" w:hAnsiTheme="minorHAnsi" w:cstheme="minorBidi"/>
      <w:sz w:val="44"/>
      <w:szCs w:val="44"/>
    </w:rPr>
  </w:style>
  <w:style w:type="paragraph" w:styleId="3">
    <w:name w:val="heading 3"/>
    <w:basedOn w:val="1"/>
    <w:next w:val="1"/>
    <w:link w:val="28"/>
    <w:semiHidden/>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0"/>
    <w:semiHidden/>
    <w:unhideWhenUsed/>
    <w:qFormat/>
    <w:uiPriority w:val="99"/>
    <w:pPr>
      <w:jc w:val="left"/>
    </w:pPr>
  </w:style>
  <w:style w:type="paragraph" w:styleId="5">
    <w:name w:val="Balloon Text"/>
    <w:basedOn w:val="1"/>
    <w:link w:val="19"/>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itle"/>
    <w:basedOn w:val="1"/>
    <w:next w:val="1"/>
    <w:link w:val="23"/>
    <w:qFormat/>
    <w:uiPriority w:val="10"/>
    <w:pPr>
      <w:spacing w:before="240" w:after="60"/>
      <w:jc w:val="center"/>
      <w:outlineLvl w:val="0"/>
    </w:pPr>
    <w:rPr>
      <w:rFonts w:asciiTheme="majorHAnsi" w:hAnsiTheme="majorHAnsi" w:cstheme="majorBidi"/>
      <w:b/>
      <w:bCs/>
      <w:sz w:val="32"/>
      <w:szCs w:val="32"/>
    </w:rPr>
  </w:style>
  <w:style w:type="paragraph" w:styleId="9">
    <w:name w:val="annotation subject"/>
    <w:basedOn w:val="4"/>
    <w:next w:val="4"/>
    <w:link w:val="21"/>
    <w:semiHidden/>
    <w:unhideWhenUsed/>
    <w:qFormat/>
    <w:uiPriority w:val="99"/>
    <w:rPr>
      <w:b/>
      <w:bCs/>
    </w:rPr>
  </w:style>
  <w:style w:type="table" w:styleId="11">
    <w:name w:val="Table Grid"/>
    <w:basedOn w:val="10"/>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character" w:styleId="14">
    <w:name w:val="annotation reference"/>
    <w:basedOn w:val="12"/>
    <w:semiHidden/>
    <w:unhideWhenUsed/>
    <w:qFormat/>
    <w:uiPriority w:val="99"/>
    <w:rPr>
      <w:sz w:val="21"/>
      <w:szCs w:val="21"/>
    </w:rPr>
  </w:style>
  <w:style w:type="paragraph" w:customStyle="1" w:styleId="1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
    <w:name w:val="彩色列表 - 着色 11"/>
    <w:basedOn w:val="1"/>
    <w:qFormat/>
    <w:uiPriority w:val="34"/>
    <w:pPr>
      <w:spacing w:line="440" w:lineRule="exact"/>
      <w:ind w:firstLine="420" w:firstLineChars="200"/>
    </w:pPr>
    <w:rPr>
      <w:rFonts w:ascii="Arial" w:hAnsi="Arial"/>
      <w:szCs w:val="24"/>
    </w:rPr>
  </w:style>
  <w:style w:type="character" w:customStyle="1" w:styleId="17">
    <w:name w:val="页眉 字符"/>
    <w:basedOn w:val="12"/>
    <w:link w:val="7"/>
    <w:qFormat/>
    <w:uiPriority w:val="99"/>
    <w:rPr>
      <w:rFonts w:ascii="Calibri" w:hAnsi="Calibri" w:eastAsia="宋体" w:cs="Times New Roman"/>
      <w:sz w:val="18"/>
      <w:szCs w:val="18"/>
    </w:rPr>
  </w:style>
  <w:style w:type="character" w:customStyle="1" w:styleId="18">
    <w:name w:val="页脚 字符"/>
    <w:basedOn w:val="12"/>
    <w:link w:val="6"/>
    <w:qFormat/>
    <w:uiPriority w:val="99"/>
    <w:rPr>
      <w:rFonts w:ascii="Calibri" w:hAnsi="Calibri" w:eastAsia="宋体" w:cs="Times New Roman"/>
      <w:sz w:val="18"/>
      <w:szCs w:val="18"/>
    </w:rPr>
  </w:style>
  <w:style w:type="character" w:customStyle="1" w:styleId="19">
    <w:name w:val="批注框文本 字符"/>
    <w:basedOn w:val="12"/>
    <w:link w:val="5"/>
    <w:semiHidden/>
    <w:qFormat/>
    <w:uiPriority w:val="99"/>
    <w:rPr>
      <w:rFonts w:ascii="Calibri" w:hAnsi="Calibri" w:eastAsia="宋体" w:cs="Times New Roman"/>
      <w:sz w:val="18"/>
      <w:szCs w:val="18"/>
    </w:rPr>
  </w:style>
  <w:style w:type="character" w:customStyle="1" w:styleId="20">
    <w:name w:val="批注文字 字符"/>
    <w:basedOn w:val="12"/>
    <w:link w:val="4"/>
    <w:semiHidden/>
    <w:qFormat/>
    <w:uiPriority w:val="99"/>
    <w:rPr>
      <w:rFonts w:ascii="Calibri" w:hAnsi="Calibri" w:eastAsia="宋体" w:cs="Times New Roman"/>
    </w:rPr>
  </w:style>
  <w:style w:type="character" w:customStyle="1" w:styleId="21">
    <w:name w:val="批注主题 字符"/>
    <w:basedOn w:val="20"/>
    <w:link w:val="9"/>
    <w:semiHidden/>
    <w:qFormat/>
    <w:uiPriority w:val="99"/>
    <w:rPr>
      <w:rFonts w:ascii="Calibri" w:hAnsi="Calibri" w:eastAsia="宋体" w:cs="Times New Roman"/>
      <w:b/>
      <w:bCs/>
    </w:rPr>
  </w:style>
  <w:style w:type="paragraph" w:styleId="22">
    <w:name w:val="List Paragraph"/>
    <w:basedOn w:val="1"/>
    <w:qFormat/>
    <w:uiPriority w:val="34"/>
    <w:pPr>
      <w:ind w:firstLine="420" w:firstLineChars="200"/>
    </w:pPr>
  </w:style>
  <w:style w:type="character" w:customStyle="1" w:styleId="23">
    <w:name w:val="标题 字符"/>
    <w:basedOn w:val="12"/>
    <w:link w:val="8"/>
    <w:qFormat/>
    <w:uiPriority w:val="10"/>
    <w:rPr>
      <w:rFonts w:eastAsia="宋体" w:asciiTheme="majorHAnsi" w:hAnsiTheme="majorHAnsi" w:cstheme="majorBidi"/>
      <w:b/>
      <w:bCs/>
      <w:sz w:val="32"/>
      <w:szCs w:val="32"/>
    </w:rPr>
  </w:style>
  <w:style w:type="paragraph" w:customStyle="1" w:styleId="24">
    <w:name w:val="修订1"/>
    <w:hidden/>
    <w:semiHidden/>
    <w:qFormat/>
    <w:uiPriority w:val="99"/>
    <w:rPr>
      <w:rFonts w:ascii="Calibri" w:hAnsi="Calibri" w:eastAsia="宋体" w:cs="Times New Roman"/>
      <w:kern w:val="2"/>
      <w:sz w:val="21"/>
      <w:szCs w:val="22"/>
      <w:lang w:val="en-US" w:eastAsia="zh-CN" w:bidi="ar-SA"/>
    </w:rPr>
  </w:style>
  <w:style w:type="character" w:customStyle="1" w:styleId="25">
    <w:name w:val="未处理的提及1"/>
    <w:basedOn w:val="12"/>
    <w:semiHidden/>
    <w:unhideWhenUsed/>
    <w:qFormat/>
    <w:uiPriority w:val="99"/>
    <w:rPr>
      <w:color w:val="605E5C"/>
      <w:shd w:val="clear" w:color="auto" w:fill="E1DFDD"/>
    </w:rPr>
  </w:style>
  <w:style w:type="paragraph" w:customStyle="1" w:styleId="26">
    <w:name w:val="修订2"/>
    <w:hidden/>
    <w:unhideWhenUsed/>
    <w:uiPriority w:val="99"/>
    <w:rPr>
      <w:rFonts w:ascii="Calibri" w:hAnsi="Calibri" w:eastAsia="宋体" w:cs="Times New Roman"/>
      <w:kern w:val="2"/>
      <w:sz w:val="21"/>
      <w:szCs w:val="22"/>
      <w:lang w:val="en-US" w:eastAsia="zh-CN" w:bidi="ar-SA"/>
    </w:rPr>
  </w:style>
  <w:style w:type="paragraph" w:customStyle="1" w:styleId="27">
    <w:name w:val="Revision"/>
    <w:hidden/>
    <w:unhideWhenUsed/>
    <w:uiPriority w:val="99"/>
    <w:rPr>
      <w:rFonts w:ascii="Calibri" w:hAnsi="Calibri" w:eastAsia="宋体" w:cs="Times New Roman"/>
      <w:kern w:val="2"/>
      <w:sz w:val="21"/>
      <w:szCs w:val="22"/>
      <w:lang w:val="en-US" w:eastAsia="zh-CN" w:bidi="ar-SA"/>
    </w:rPr>
  </w:style>
  <w:style w:type="character" w:customStyle="1" w:styleId="28">
    <w:name w:val="标题 3 字符"/>
    <w:basedOn w:val="12"/>
    <w:link w:val="3"/>
    <w:semiHidden/>
    <w:qFormat/>
    <w:uiPriority w:val="9"/>
    <w:rPr>
      <w:rFonts w:ascii="Calibri" w:hAnsi="Calibri" w:eastAsia="宋体" w:cs="Times New Roman"/>
      <w:b/>
      <w:bCs/>
      <w:kern w:val="2"/>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7187C-C063-4056-A5A7-996E96DEDCB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23317</Words>
  <Characters>23738</Characters>
  <Lines>684</Lines>
  <Paragraphs>480</Paragraphs>
  <TotalTime>24</TotalTime>
  <ScaleCrop>false</ScaleCrop>
  <LinksUpToDate>false</LinksUpToDate>
  <CharactersWithSpaces>23808</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2025-12-19T04:49:00Z</dcterms:created>
  <dc:creator>任俊学</dc:creator>
  <cp:lastModifiedBy>张俊峰</cp:lastModifiedBy>
  <cp:lastPrinted>2025-12-11T02:26:00Z</cp:lastPrinted>
  <dcterms:modified xsi:type="dcterms:W3CDTF">2026-01-09T08:28:35Z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ICV">
    <vt:lpwstr>B578A8E7888E49BAB02DF073EAD6E213_12</vt:lpwstr>
  </property>
  <property fmtid="{D5CDD505-2E9C-101B-9397-08002B2CF9AE}" pid="4" name="KSOTemplateDocerSaveRecord">
    <vt:lpwstr>eyJoZGlkIjoiZDNlOTg2NDZhMWVmZmVhZjFlMzM5YmRkODQ3ODdjNGQiLCJ1c2VySWQiOiIxNzQ5MjkyNDYwIn0=</vt:lpwstr>
  </property>
</Properties>
</file>