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35B03">
      <w:pPr>
        <w:spacing w:line="560" w:lineRule="exact"/>
        <w:rPr>
          <w:rFonts w:hint="eastAsia" w:ascii="仿宋_GB2312" w:hAnsi="黑体" w:eastAsia="仿宋_GB2312" w:cs="黑体"/>
          <w:b/>
          <w:bCs/>
          <w:sz w:val="32"/>
          <w:szCs w:val="28"/>
        </w:rPr>
      </w:pPr>
      <w:r>
        <w:rPr>
          <w:rFonts w:hint="eastAsia" w:ascii="仿宋_GB2312" w:hAnsi="黑体" w:eastAsia="仿宋_GB2312" w:cs="黑体"/>
          <w:b/>
          <w:bCs/>
          <w:sz w:val="32"/>
          <w:szCs w:val="28"/>
        </w:rPr>
        <w:t>附件</w:t>
      </w:r>
      <w:r>
        <w:rPr>
          <w:rFonts w:ascii="仿宋_GB2312" w:hAnsi="黑体" w:eastAsia="仿宋_GB2312" w:cs="黑体"/>
          <w:b/>
          <w:bCs/>
          <w:sz w:val="32"/>
          <w:szCs w:val="28"/>
        </w:rPr>
        <w:t>2</w:t>
      </w:r>
    </w:p>
    <w:p w14:paraId="59D74440">
      <w:pPr>
        <w:spacing w:line="560" w:lineRule="exact"/>
        <w:jc w:val="center"/>
        <w:rPr>
          <w:rFonts w:hint="eastAsia" w:ascii="宋体" w:hAnsi="宋体"/>
          <w:sz w:val="36"/>
          <w:szCs w:val="36"/>
          <w:u w:val="single"/>
        </w:rPr>
      </w:pPr>
    </w:p>
    <w:p w14:paraId="32623400">
      <w:pPr>
        <w:spacing w:line="560" w:lineRule="exact"/>
        <w:jc w:val="center"/>
        <w:rPr>
          <w:rFonts w:hint="eastAsia" w:ascii="仿宋_GB2312" w:hAnsi="仿宋" w:eastAsia="仿宋_GB2312"/>
          <w:sz w:val="32"/>
          <w:szCs w:val="32"/>
        </w:rPr>
      </w:pPr>
    </w:p>
    <w:p w14:paraId="7C71BB4A">
      <w:pPr>
        <w:spacing w:line="560" w:lineRule="exact"/>
        <w:jc w:val="center"/>
        <w:rPr>
          <w:rFonts w:hint="eastAsia" w:ascii="仿宋_GB2312" w:hAnsi="仿宋" w:eastAsia="仿宋_GB2312"/>
          <w:sz w:val="32"/>
          <w:szCs w:val="32"/>
        </w:rPr>
      </w:pPr>
    </w:p>
    <w:p w14:paraId="322AF72D">
      <w:pPr>
        <w:spacing w:line="560" w:lineRule="exact"/>
        <w:jc w:val="center"/>
        <w:rPr>
          <w:rFonts w:hint="eastAsia" w:ascii="仿宋_GB2312" w:hAnsi="仿宋" w:eastAsia="仿宋_GB2312"/>
          <w:sz w:val="32"/>
          <w:szCs w:val="32"/>
        </w:rPr>
      </w:pPr>
    </w:p>
    <w:p w14:paraId="35594567">
      <w:pPr>
        <w:spacing w:line="560" w:lineRule="exact"/>
        <w:jc w:val="center"/>
        <w:rPr>
          <w:rFonts w:hint="eastAsia" w:ascii="仿宋_GB2312" w:hAnsi="仿宋" w:eastAsia="仿宋_GB2312"/>
          <w:sz w:val="32"/>
          <w:szCs w:val="32"/>
        </w:rPr>
      </w:pPr>
    </w:p>
    <w:p w14:paraId="3CC841E8">
      <w:pPr>
        <w:spacing w:line="560" w:lineRule="exact"/>
        <w:jc w:val="center"/>
        <w:rPr>
          <w:rFonts w:hint="eastAsia" w:ascii="方正小标宋简体" w:hAnsi="宋体" w:eastAsia="方正小标宋简体"/>
          <w:sz w:val="48"/>
          <w:szCs w:val="48"/>
        </w:rPr>
      </w:pPr>
      <w:r>
        <w:rPr>
          <w:rFonts w:hint="eastAsia" w:ascii="方正小标宋简体" w:hAnsi="宋体" w:eastAsia="方正小标宋简体"/>
          <w:sz w:val="48"/>
          <w:szCs w:val="48"/>
        </w:rPr>
        <w:t>深圳市</w:t>
      </w:r>
      <w:r>
        <w:rPr>
          <w:rFonts w:ascii="方正小标宋简体" w:hAnsi="宋体" w:eastAsia="方正小标宋简体"/>
          <w:sz w:val="48"/>
          <w:szCs w:val="48"/>
        </w:rPr>
        <w:t>XX天使投资基金</w:t>
      </w:r>
    </w:p>
    <w:p w14:paraId="699531AD">
      <w:pPr>
        <w:spacing w:line="560" w:lineRule="exact"/>
        <w:jc w:val="center"/>
        <w:rPr>
          <w:rFonts w:hint="eastAsia" w:ascii="方正小标宋简体" w:hAnsi="宋体" w:eastAsia="方正小标宋简体"/>
          <w:sz w:val="48"/>
          <w:szCs w:val="48"/>
        </w:rPr>
      </w:pPr>
      <w:r>
        <w:rPr>
          <w:rFonts w:hint="eastAsia" w:ascii="方正小标宋简体" w:hAnsi="宋体" w:eastAsia="方正小标宋简体"/>
          <w:sz w:val="48"/>
          <w:szCs w:val="48"/>
        </w:rPr>
        <w:t>申请方案</w:t>
      </w:r>
    </w:p>
    <w:p w14:paraId="1B9FB63B">
      <w:pPr>
        <w:spacing w:line="560" w:lineRule="exact"/>
        <w:jc w:val="center"/>
        <w:rPr>
          <w:rFonts w:hint="eastAsia" w:ascii="仿宋_GB2312" w:hAnsi="宋体" w:eastAsia="仿宋_GB2312"/>
          <w:sz w:val="32"/>
          <w:szCs w:val="32"/>
        </w:rPr>
      </w:pPr>
    </w:p>
    <w:p w14:paraId="591EBCFD">
      <w:pPr>
        <w:spacing w:line="560" w:lineRule="exact"/>
        <w:jc w:val="center"/>
        <w:rPr>
          <w:rFonts w:hint="eastAsia" w:ascii="仿宋_GB2312" w:hAnsi="仿宋" w:eastAsia="仿宋_GB2312"/>
          <w:sz w:val="32"/>
          <w:szCs w:val="32"/>
        </w:rPr>
      </w:pPr>
    </w:p>
    <w:p w14:paraId="0B4521A9">
      <w:pPr>
        <w:spacing w:line="560" w:lineRule="exact"/>
        <w:jc w:val="center"/>
        <w:rPr>
          <w:rFonts w:hint="eastAsia" w:ascii="仿宋_GB2312" w:hAnsi="仿宋" w:eastAsia="仿宋_GB2312"/>
          <w:sz w:val="32"/>
          <w:szCs w:val="32"/>
        </w:rPr>
      </w:pPr>
    </w:p>
    <w:p w14:paraId="76290B83">
      <w:pPr>
        <w:spacing w:line="560" w:lineRule="exact"/>
        <w:jc w:val="center"/>
        <w:rPr>
          <w:rFonts w:hint="eastAsia" w:ascii="仿宋_GB2312" w:hAnsi="仿宋" w:eastAsia="仿宋_GB2312"/>
          <w:sz w:val="32"/>
          <w:szCs w:val="32"/>
        </w:rPr>
      </w:pPr>
    </w:p>
    <w:p w14:paraId="1FAB867F">
      <w:pPr>
        <w:spacing w:line="560" w:lineRule="exact"/>
        <w:jc w:val="center"/>
        <w:rPr>
          <w:rFonts w:hint="eastAsia" w:ascii="仿宋_GB2312" w:hAnsi="仿宋" w:eastAsia="仿宋_GB2312"/>
          <w:sz w:val="32"/>
          <w:szCs w:val="32"/>
        </w:rPr>
      </w:pPr>
    </w:p>
    <w:p w14:paraId="12536AD0">
      <w:pPr>
        <w:spacing w:line="560" w:lineRule="exact"/>
        <w:jc w:val="center"/>
        <w:rPr>
          <w:rFonts w:hint="eastAsia" w:ascii="仿宋_GB2312" w:hAnsi="仿宋" w:eastAsia="仿宋_GB2312"/>
          <w:sz w:val="32"/>
          <w:szCs w:val="32"/>
        </w:rPr>
      </w:pPr>
    </w:p>
    <w:p w14:paraId="25357BA4">
      <w:pPr>
        <w:spacing w:line="560" w:lineRule="exact"/>
        <w:jc w:val="center"/>
        <w:rPr>
          <w:rFonts w:hint="eastAsia" w:ascii="仿宋_GB2312" w:hAnsi="仿宋" w:eastAsia="仿宋_GB2312"/>
          <w:sz w:val="32"/>
          <w:szCs w:val="32"/>
        </w:rPr>
      </w:pPr>
    </w:p>
    <w:p w14:paraId="0FD50066">
      <w:pPr>
        <w:spacing w:line="560" w:lineRule="exact"/>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联系人：</w:t>
      </w:r>
    </w:p>
    <w:p w14:paraId="797CF6E8">
      <w:pPr>
        <w:spacing w:line="560" w:lineRule="exact"/>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联系电话：</w:t>
      </w:r>
    </w:p>
    <w:p w14:paraId="4A1928C7">
      <w:pPr>
        <w:spacing w:line="560" w:lineRule="exact"/>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邮箱：</w:t>
      </w:r>
    </w:p>
    <w:p w14:paraId="423E35EE">
      <w:pPr>
        <w:spacing w:line="560" w:lineRule="exact"/>
        <w:ind w:firstLine="944" w:firstLineChars="295"/>
        <w:jc w:val="center"/>
        <w:rPr>
          <w:rFonts w:hint="eastAsia" w:ascii="方正小标宋简体" w:hAnsi="宋体" w:eastAsia="方正小标宋简体"/>
          <w:sz w:val="32"/>
          <w:szCs w:val="32"/>
        </w:rPr>
      </w:pPr>
    </w:p>
    <w:p w14:paraId="67A7CAEB">
      <w:pPr>
        <w:spacing w:line="560" w:lineRule="exac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申请机构：</w:t>
      </w:r>
      <w:r>
        <w:rPr>
          <w:rFonts w:ascii="方正小标宋简体" w:hAnsi="宋体" w:eastAsia="方正小标宋简体"/>
          <w:sz w:val="32"/>
          <w:szCs w:val="32"/>
        </w:rPr>
        <w:t>XXX公司（盖章）</w:t>
      </w:r>
    </w:p>
    <w:p w14:paraId="2B2082F2">
      <w:pPr>
        <w:spacing w:line="560" w:lineRule="exact"/>
        <w:jc w:val="center"/>
        <w:rPr>
          <w:rFonts w:hint="eastAsia" w:ascii="方正小标宋简体" w:hAnsi="宋体" w:eastAsia="方正小标宋简体"/>
          <w:sz w:val="32"/>
          <w:szCs w:val="32"/>
        </w:rPr>
      </w:pPr>
      <w:r>
        <w:rPr>
          <w:rFonts w:ascii="方正小标宋简体" w:hAnsi="宋体" w:eastAsia="方正小标宋简体"/>
          <w:sz w:val="32"/>
          <w:szCs w:val="32"/>
        </w:rPr>
        <w:t>XXXX年XX月</w:t>
      </w:r>
    </w:p>
    <w:p w14:paraId="194C5522">
      <w:pPr>
        <w:spacing w:line="560" w:lineRule="exact"/>
        <w:jc w:val="center"/>
        <w:outlineLvl w:val="0"/>
        <w:rPr>
          <w:rFonts w:hint="eastAsia" w:ascii="黑体" w:hAnsi="黑体" w:eastAsia="黑体"/>
          <w:sz w:val="32"/>
          <w:szCs w:val="32"/>
        </w:rPr>
      </w:pPr>
    </w:p>
    <w:p w14:paraId="206ABD50">
      <w:pPr>
        <w:spacing w:line="560" w:lineRule="exact"/>
        <w:outlineLvl w:val="0"/>
        <w:rPr>
          <w:rFonts w:hint="eastAsia" w:ascii="黑体" w:hAnsi="黑体" w:eastAsia="黑体"/>
          <w:sz w:val="32"/>
          <w:szCs w:val="32"/>
        </w:rPr>
      </w:pPr>
    </w:p>
    <w:p w14:paraId="39ED763D">
      <w:pPr>
        <w:spacing w:line="560" w:lineRule="exact"/>
        <w:outlineLvl w:val="0"/>
        <w:rPr>
          <w:rFonts w:hint="eastAsia" w:ascii="黑体" w:hAnsi="黑体" w:eastAsia="黑体"/>
          <w:sz w:val="32"/>
          <w:szCs w:val="32"/>
        </w:rPr>
      </w:pPr>
    </w:p>
    <w:p w14:paraId="65DDC345">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一、基金设立背景与行业分析</w:t>
      </w:r>
    </w:p>
    <w:p w14:paraId="0799285A">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二、基金概况</w:t>
      </w:r>
    </w:p>
    <w:p w14:paraId="19ADC8F5">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（一）基金名称</w:t>
      </w:r>
    </w:p>
    <w:p w14:paraId="3B0324B0">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（二）基金管理机构</w:t>
      </w:r>
    </w:p>
    <w:p w14:paraId="02A34AEF">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（三）基金注册地址</w:t>
      </w:r>
    </w:p>
    <w:p w14:paraId="4D7E61E1">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（四）基金规模</w:t>
      </w:r>
    </w:p>
    <w:p w14:paraId="047DD148">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（五）存续期限（须注明投资期、退出期和延长期）</w:t>
      </w:r>
    </w:p>
    <w:p w14:paraId="69D267C8">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（六）基金组织形式及类型</w:t>
      </w:r>
    </w:p>
    <w:p w14:paraId="47E45F70">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（七）申请天使母基金出资额及比例</w:t>
      </w:r>
    </w:p>
    <w:p w14:paraId="1F2E283A">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（八）基金投资领域（须注明具体行业）</w:t>
      </w:r>
    </w:p>
    <w:p w14:paraId="48C9F90F">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（九）基金投资标的</w:t>
      </w:r>
    </w:p>
    <w:p w14:paraId="076492F0">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（十）基金投资地域</w:t>
      </w:r>
    </w:p>
    <w:p w14:paraId="3865B68A">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（十一）基金投资限额</w:t>
      </w:r>
    </w:p>
    <w:p w14:paraId="31188C33">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（十二）管理费用（须注明计算基数和费率）</w:t>
      </w:r>
    </w:p>
    <w:p w14:paraId="15C73F9F">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（十三）收益分配</w:t>
      </w:r>
    </w:p>
    <w:p w14:paraId="17E067FE">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三、基金出资人</w:t>
      </w:r>
    </w:p>
    <w:p w14:paraId="17023BB7">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（一）基金出资架构：以表格形式列出已基本确定的出资人类型、出资人名称、认缴出资金额、出资比例等情况，以及剩余资金的募集计划及时间安排。</w:t>
      </w:r>
    </w:p>
    <w:p w14:paraId="4BB9970C">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（二）出资人介绍：按顺序依次介绍基石投资人和其它出资人（机构或个人）的概况，如出资涉及监管部门监管或审批，需说明相关监管事项和对审批时间的预估。</w:t>
      </w:r>
    </w:p>
    <w:p w14:paraId="29E490B6">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四、基金管理机构和团队</w:t>
      </w:r>
    </w:p>
    <w:p w14:paraId="4090586E">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（一）基金管理机构</w:t>
      </w:r>
    </w:p>
    <w:p w14:paraId="7C9D4448">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1.基金管理机构工商注册信息、</w:t>
      </w:r>
      <w:bookmarkStart w:id="0" w:name="_Hlk31973876"/>
      <w:r>
        <w:rPr>
          <w:rFonts w:ascii="仿宋_GB2312" w:hAnsi="宋体" w:eastAsia="仿宋_GB2312"/>
          <w:sz w:val="32"/>
          <w:szCs w:val="32"/>
        </w:rPr>
        <w:t>注册资本与实收资本</w:t>
      </w:r>
      <w:bookmarkEnd w:id="0"/>
      <w:r>
        <w:rPr>
          <w:rFonts w:ascii="仿宋_GB2312" w:hAnsi="宋体" w:eastAsia="仿宋_GB2312"/>
          <w:sz w:val="32"/>
          <w:szCs w:val="32"/>
        </w:rPr>
        <w:t>、历史</w:t>
      </w:r>
      <w:r>
        <w:rPr>
          <w:rFonts w:hint="eastAsia" w:ascii="仿宋_GB2312" w:hAnsi="宋体" w:eastAsia="仿宋_GB2312"/>
          <w:sz w:val="32"/>
          <w:szCs w:val="32"/>
        </w:rPr>
        <w:t>沿革等；</w:t>
      </w:r>
    </w:p>
    <w:p w14:paraId="38517392">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2.</w:t>
      </w:r>
      <w:bookmarkStart w:id="1" w:name="_Hlk31973803"/>
      <w:r>
        <w:rPr>
          <w:rFonts w:ascii="仿宋_GB2312" w:hAnsi="宋体" w:eastAsia="仿宋_GB2312"/>
          <w:sz w:val="32"/>
          <w:szCs w:val="32"/>
        </w:rPr>
        <w:t>股权结构、实际控制人：图表配合文字详细说明</w:t>
      </w:r>
      <w:bookmarkEnd w:id="1"/>
      <w:r>
        <w:rPr>
          <w:rFonts w:hint="eastAsia" w:ascii="仿宋_GB2312" w:hAnsi="宋体" w:eastAsia="仿宋_GB2312"/>
          <w:sz w:val="32"/>
          <w:szCs w:val="32"/>
        </w:rPr>
        <w:t>；</w:t>
      </w:r>
    </w:p>
    <w:p w14:paraId="27CB73CB">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3.内部治理架构：</w:t>
      </w:r>
      <w:r>
        <w:rPr>
          <w:rFonts w:hint="eastAsia" w:ascii="仿宋_GB2312" w:hAnsi="仿宋" w:eastAsia="仿宋_GB2312"/>
          <w:sz w:val="32"/>
          <w:szCs w:val="32"/>
        </w:rPr>
        <w:t>管理和投资运作规范，具有完整的投资决策程序、全面的风险控制机制和健全的财务管理制度；</w:t>
      </w:r>
    </w:p>
    <w:p w14:paraId="4325FEB9">
      <w:pPr>
        <w:spacing w:line="560" w:lineRule="exact"/>
        <w:ind w:firstLine="640" w:firstLineChars="200"/>
        <w:outlineLvl w:val="0"/>
        <w:rPr>
          <w:rFonts w:hint="eastAsia" w:ascii="仿宋_GB2312" w:hAnsi="宋体" w:eastAsia="仿宋_GB2312"/>
          <w:sz w:val="32"/>
          <w:szCs w:val="32"/>
        </w:rPr>
      </w:pPr>
      <w:bookmarkStart w:id="2" w:name="_Hlk31979876"/>
      <w:r>
        <w:rPr>
          <w:rFonts w:ascii="仿宋_GB2312" w:hAnsi="宋体" w:eastAsia="仿宋_GB2312"/>
          <w:sz w:val="32"/>
          <w:szCs w:val="32"/>
        </w:rPr>
        <w:t>4.管理机构全体成员列表：图表配合文字详细说明，全体成员列表应</w:t>
      </w:r>
      <w:bookmarkStart w:id="3" w:name="_Hlk31975984"/>
      <w:r>
        <w:rPr>
          <w:rFonts w:ascii="仿宋_GB2312" w:hAnsi="宋体" w:eastAsia="仿宋_GB2312"/>
          <w:sz w:val="32"/>
          <w:szCs w:val="32"/>
        </w:rPr>
        <w:t>包括</w:t>
      </w:r>
      <w:bookmarkStart w:id="4" w:name="_Hlk31972247"/>
      <w:bookmarkStart w:id="5" w:name="_Hlk31975846"/>
      <w:r>
        <w:rPr>
          <w:rFonts w:hint="eastAsia" w:ascii="仿宋_GB2312" w:hAnsi="宋体" w:eastAsia="仿宋_GB2312"/>
          <w:sz w:val="32"/>
          <w:szCs w:val="32"/>
        </w:rPr>
        <w:t>但不限于</w:t>
      </w:r>
      <w:bookmarkEnd w:id="4"/>
      <w:r>
        <w:rPr>
          <w:rFonts w:ascii="仿宋_GB2312" w:hAnsi="宋体" w:eastAsia="仿宋_GB2312"/>
          <w:sz w:val="32"/>
          <w:szCs w:val="32"/>
        </w:rPr>
        <w:t>姓名、职务、年龄、</w:t>
      </w:r>
      <w:r>
        <w:rPr>
          <w:rFonts w:hint="eastAsia" w:ascii="仿宋_GB2312" w:hAnsi="宋体" w:eastAsia="仿宋_GB2312"/>
          <w:sz w:val="32"/>
          <w:szCs w:val="32"/>
        </w:rPr>
        <w:t>教育背景</w:t>
      </w:r>
      <w:r>
        <w:rPr>
          <w:rFonts w:ascii="仿宋_GB2312" w:hAnsi="宋体" w:eastAsia="仿宋_GB2312"/>
          <w:sz w:val="32"/>
          <w:szCs w:val="32"/>
        </w:rPr>
        <w:t>、</w:t>
      </w:r>
      <w:r>
        <w:rPr>
          <w:rFonts w:hint="eastAsia" w:ascii="仿宋_GB2312" w:hAnsi="宋体" w:eastAsia="仿宋_GB2312"/>
          <w:sz w:val="32"/>
          <w:szCs w:val="32"/>
        </w:rPr>
        <w:t>职业经历、</w:t>
      </w:r>
      <w:r>
        <w:rPr>
          <w:rFonts w:ascii="仿宋_GB2312" w:hAnsi="宋体" w:eastAsia="仿宋_GB2312"/>
          <w:sz w:val="32"/>
          <w:szCs w:val="32"/>
        </w:rPr>
        <w:t>加入团队时间、</w:t>
      </w:r>
      <w:r>
        <w:rPr>
          <w:rFonts w:hint="eastAsia" w:ascii="仿宋_GB2312" w:hAnsi="宋体" w:eastAsia="仿宋_GB2312"/>
          <w:sz w:val="32"/>
          <w:szCs w:val="32"/>
        </w:rPr>
        <w:t>职责</w:t>
      </w:r>
      <w:r>
        <w:rPr>
          <w:rFonts w:ascii="仿宋_GB2312" w:hAnsi="宋体" w:eastAsia="仿宋_GB2312"/>
          <w:sz w:val="32"/>
          <w:szCs w:val="32"/>
        </w:rPr>
        <w:t>分工情况、共同合作经历</w:t>
      </w:r>
      <w:r>
        <w:rPr>
          <w:rFonts w:hint="eastAsia" w:ascii="仿宋_GB2312" w:hAnsi="宋体" w:eastAsia="仿宋_GB2312"/>
          <w:sz w:val="32"/>
          <w:szCs w:val="32"/>
        </w:rPr>
        <w:t>、</w:t>
      </w:r>
      <w:r>
        <w:rPr>
          <w:rFonts w:ascii="仿宋_GB2312" w:hAnsi="仿宋" w:eastAsia="仿宋_GB2312"/>
          <w:sz w:val="32"/>
          <w:szCs w:val="32"/>
        </w:rPr>
        <w:t>常驻深圳办公或在深圳缴纳社保</w:t>
      </w:r>
      <w:r>
        <w:rPr>
          <w:rFonts w:hint="eastAsia" w:ascii="仿宋_GB2312" w:hAnsi="仿宋" w:eastAsia="仿宋_GB2312"/>
          <w:sz w:val="32"/>
          <w:szCs w:val="32"/>
        </w:rPr>
        <w:t>情况、所获荣誉、代表案例</w:t>
      </w:r>
      <w:r>
        <w:rPr>
          <w:rFonts w:ascii="仿宋_GB2312" w:hAnsi="宋体" w:eastAsia="仿宋_GB2312"/>
          <w:sz w:val="32"/>
          <w:szCs w:val="32"/>
        </w:rPr>
        <w:t>等内容</w:t>
      </w:r>
      <w:bookmarkEnd w:id="2"/>
      <w:bookmarkEnd w:id="3"/>
      <w:bookmarkEnd w:id="5"/>
      <w:r>
        <w:rPr>
          <w:rFonts w:hint="eastAsia" w:ascii="仿宋_GB2312" w:hAnsi="宋体" w:eastAsia="仿宋_GB2312"/>
          <w:sz w:val="32"/>
          <w:szCs w:val="32"/>
        </w:rPr>
        <w:t>；</w:t>
      </w:r>
    </w:p>
    <w:p w14:paraId="23A9E017">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5.子基金管理机构需提供以下内容之一：</w:t>
      </w:r>
    </w:p>
    <w:p w14:paraId="4706A6E0">
      <w:pPr>
        <w:spacing w:line="560" w:lineRule="exact"/>
        <w:ind w:firstLine="640" w:firstLineChars="200"/>
        <w:outlineLvl w:val="0"/>
        <w:rPr>
          <w:rFonts w:ascii="仿宋_GB2312" w:eastAsia="仿宋_GB2312"/>
          <w:sz w:val="32"/>
          <w:szCs w:val="32"/>
        </w:rPr>
      </w:pPr>
      <w:r>
        <w:rPr>
          <w:rFonts w:hint="eastAsia" w:ascii="仿宋_GB2312" w:eastAsia="仿宋_GB2312"/>
          <w:sz w:val="32"/>
        </w:rPr>
        <w:t>（1）</w:t>
      </w:r>
      <w:r>
        <w:rPr>
          <w:rFonts w:hint="eastAsia" w:ascii="仿宋_GB2312" w:eastAsia="仿宋_GB2312"/>
          <w:sz w:val="32"/>
          <w:szCs w:val="32"/>
        </w:rPr>
        <w:t>子基金管理机构或其主要股东（公司制）、普通合伙人（合伙制）累计管理的实缴基金规模不低于10亿元，且在前述所管理基金中，至少投出过1个独角兽项目或1个总市值超过10亿美元的上市公司或3个国家级专精特新“小巨人”项目。前述项目应为首两轮外部机构投资项目或投资时工商登记注册时间不超过5年。图表配合文字详细说明，包括：基金名称、注册地、基金规模、实缴资本、投资领域、投资阶段、投资项目数量及金额、退出项目数量及金额、项目市值、项目所获荣誉（是否属于国家级专精特新“小巨人”）、基金IRR等；</w:t>
      </w:r>
    </w:p>
    <w:p w14:paraId="4580224D">
      <w:pPr>
        <w:spacing w:line="560" w:lineRule="exact"/>
        <w:ind w:firstLine="640" w:firstLineChars="200"/>
        <w:outlineLvl w:val="0"/>
        <w:rPr>
          <w:rFonts w:ascii="仿宋_GB2312" w:eastAsia="仿宋_GB2312"/>
          <w:sz w:val="32"/>
        </w:rPr>
      </w:pPr>
      <w:r>
        <w:rPr>
          <w:rFonts w:hint="eastAsia" w:ascii="仿宋_GB2312" w:eastAsia="仿宋_GB2312"/>
          <w:sz w:val="32"/>
          <w:szCs w:val="32"/>
        </w:rPr>
        <w:t>（2）对于天使母基金过往已合作的子基金管理机构，需列明其过往已设立基金（与天使母基金合作设立的子基金）的投向与深圳市产业匹配度、所投项目发育情况、政策目标落实情况、投后管理配合情况、过去三年绩效评价结果，且确认天使母基金自上个合作子基金已经完全退出。</w:t>
      </w:r>
    </w:p>
    <w:p w14:paraId="44B34652">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（二）基金管理团队</w:t>
      </w:r>
    </w:p>
    <w:p w14:paraId="2C9D88F0">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1.按顺序依次阐述本基金主要管理人员详细资料及履历、管理各类基金情况、主要项目投资案例及参与程度</w:t>
      </w:r>
      <w:r>
        <w:rPr>
          <w:rFonts w:hint="eastAsia" w:ascii="仿宋_GB2312" w:hAnsi="宋体" w:eastAsia="仿宋_GB2312"/>
          <w:sz w:val="32"/>
          <w:szCs w:val="32"/>
        </w:rPr>
        <w:t>；</w:t>
      </w:r>
    </w:p>
    <w:p w14:paraId="329B2E2A">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2.提供主要管理人员之间的合作经历</w:t>
      </w:r>
      <w:r>
        <w:rPr>
          <w:rFonts w:hint="eastAsia" w:ascii="仿宋_GB2312" w:hAnsi="宋体" w:eastAsia="仿宋_GB2312"/>
          <w:sz w:val="32"/>
          <w:szCs w:val="32"/>
        </w:rPr>
        <w:t>；</w:t>
      </w:r>
    </w:p>
    <w:p w14:paraId="0646C5F9">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3.管理团队投资项目列表，详细列出全部已投资项目名称、投资时间、投资金额、初始股权比例、退出金额、目前持有价值、IRR、团队主要成员参与角色等</w:t>
      </w:r>
      <w:r>
        <w:rPr>
          <w:rFonts w:hint="eastAsia" w:ascii="仿宋_GB2312" w:hAnsi="宋体" w:eastAsia="仿宋_GB2312"/>
          <w:sz w:val="32"/>
          <w:szCs w:val="32"/>
        </w:rPr>
        <w:t>；</w:t>
      </w:r>
    </w:p>
    <w:p w14:paraId="64258439">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4.基金关键人安排</w:t>
      </w:r>
      <w:r>
        <w:rPr>
          <w:rFonts w:hint="eastAsia" w:ascii="仿宋_GB2312" w:hAnsi="宋体" w:eastAsia="仿宋_GB2312"/>
          <w:sz w:val="32"/>
          <w:szCs w:val="32"/>
        </w:rPr>
        <w:t>。</w:t>
      </w:r>
    </w:p>
    <w:p w14:paraId="7045B1E8">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五、基金管理和运行</w:t>
      </w:r>
    </w:p>
    <w:p w14:paraId="3CC6FF0D">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（一）基金治理架构：基金股东会与董事会、合伙人会议与投资决策委员会、咨询委员会（如有）权责划分。</w:t>
      </w:r>
    </w:p>
    <w:p w14:paraId="3933739C">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（二）基金投资策略：主要说明投资领域、阶段、地域、限制、闲置资金使用等。</w:t>
      </w:r>
    </w:p>
    <w:p w14:paraId="05E6F201">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（三）项目遴选程序：结合基金投资方向及团队构成特点，说明项目来源、项目遴选程序。</w:t>
      </w:r>
    </w:p>
    <w:p w14:paraId="07DECB09">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（四）投资决策机制：应详细说明投资决策机构、组成、决策方式、程序、表决机制、关联交易处理方式、深圳市天使母基金相关权益的特别约定等。</w:t>
      </w:r>
    </w:p>
    <w:p w14:paraId="091FD45E">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（五）增值服务</w:t>
      </w:r>
      <w:r>
        <w:rPr>
          <w:rFonts w:ascii="仿宋_GB2312" w:hAnsi="宋体" w:eastAsia="仿宋_GB2312"/>
          <w:sz w:val="32"/>
          <w:szCs w:val="32"/>
        </w:rPr>
        <w:t>:结合基金投资方向及团队构成特点，详细说明所能提供的增值服务，并举例说明。</w:t>
      </w:r>
    </w:p>
    <w:p w14:paraId="2522C130">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（六）风险防范：结合基金投资方向及团队构成特点，列出本基金可能出现的风险，并对可能出现的风险提出应对措施。</w:t>
      </w:r>
    </w:p>
    <w:p w14:paraId="415A1A44">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（七）投资退出：结合基金投资方向及团队构成特点说明退出策略。</w:t>
      </w:r>
    </w:p>
    <w:p w14:paraId="38AE75A6">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六、项目储备情况</w:t>
      </w:r>
    </w:p>
    <w:p w14:paraId="17E43E12">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应包含项目简称、项目成立时间、项目领域、企业人数、企业总资产和年销售收入、项目简介和亮点、项目创始团队情况、计划投资金额、投资轮次等信息。</w:t>
      </w:r>
    </w:p>
    <w:p w14:paraId="5309557C">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DB0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2026-03-26T09:43:56Z</dcterms:created>
  <dc:creator>XT</dc:creator>
  <cp:lastModifiedBy>张俊峰</cp:lastModifiedBy>
  <dcterms:modified xsi:type="dcterms:W3CDTF">2026-03-26T09:44:10Z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eyJoZGlkIjoiZDNlOTg2NDZhMWVmZmVhZjFlMzM5YmRkODQ3ODdjNGQiLCJ1c2VySWQiOiIxNzQ5MjkyNDYwIn0=</vt:lpwstr>
  </property>
  <property fmtid="{D5CDD505-2E9C-101B-9397-08002B2CF9AE}" pid="4" name="ICV">
    <vt:lpwstr>F5B48D4A52194BCC84C5A15653828031_12</vt:lpwstr>
  </property>
</Properties>
</file>