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C93ED">
      <w:pPr>
        <w:spacing w:line="560" w:lineRule="exact"/>
        <w:rPr>
          <w:rFonts w:hint="eastAsia" w:ascii="仿宋_GB2312" w:hAnsi="宋体" w:eastAsia="仿宋_GB2312"/>
          <w:b/>
          <w:bCs/>
          <w:sz w:val="32"/>
          <w:szCs w:val="32"/>
        </w:rPr>
      </w:pPr>
      <w:r>
        <w:rPr>
          <w:rFonts w:hint="eastAsia" w:ascii="仿宋_GB2312" w:hAnsi="宋体" w:eastAsia="仿宋_GB2312"/>
          <w:b/>
          <w:bCs/>
          <w:sz w:val="32"/>
          <w:szCs w:val="32"/>
        </w:rPr>
        <w:t>附件</w:t>
      </w:r>
      <w:r>
        <w:rPr>
          <w:rFonts w:ascii="仿宋_GB2312" w:hAnsi="宋体" w:eastAsia="仿宋_GB2312"/>
          <w:b/>
          <w:bCs/>
          <w:sz w:val="32"/>
          <w:szCs w:val="32"/>
        </w:rPr>
        <w:t>8</w:t>
      </w:r>
    </w:p>
    <w:p w14:paraId="64A3E8D3">
      <w:pPr>
        <w:spacing w:line="560" w:lineRule="exact"/>
        <w:jc w:val="center"/>
        <w:rPr>
          <w:rFonts w:ascii="方正小标宋简体" w:eastAsia="方正小标宋简体"/>
          <w:sz w:val="32"/>
        </w:rPr>
      </w:pPr>
      <w:r>
        <w:rPr>
          <w:rFonts w:hint="eastAsia" w:ascii="方正小标宋简体" w:eastAsia="方正小标宋简体"/>
          <w:sz w:val="32"/>
        </w:rPr>
        <w:t>子基金合规性自查表</w:t>
      </w:r>
    </w:p>
    <w:p w14:paraId="7F27DF0F">
      <w:pPr>
        <w:spacing w:line="560" w:lineRule="exact"/>
        <w:rPr>
          <w:sz w:val="24"/>
          <w:u w:val="single"/>
        </w:rPr>
      </w:pPr>
      <w:r>
        <w:rPr>
          <w:rFonts w:hint="eastAsia"/>
          <w:sz w:val="24"/>
          <w:u w:val="single"/>
        </w:rPr>
        <w:t>拟申报子基金名称：</w:t>
      </w:r>
    </w:p>
    <w:p w14:paraId="37A53EAE">
      <w:pPr>
        <w:spacing w:line="560" w:lineRule="exact"/>
        <w:rPr>
          <w:sz w:val="24"/>
          <w:u w:val="single"/>
        </w:rPr>
      </w:pPr>
    </w:p>
    <w:tbl>
      <w:tblPr>
        <w:tblStyle w:val="9"/>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5822"/>
        <w:gridCol w:w="1276"/>
        <w:gridCol w:w="1502"/>
      </w:tblGrid>
      <w:tr w14:paraId="03BC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76" w:type="dxa"/>
            <w:gridSpan w:val="2"/>
            <w:vAlign w:val="center"/>
          </w:tcPr>
          <w:p w14:paraId="59627958">
            <w:pPr>
              <w:snapToGrid w:val="0"/>
              <w:spacing w:line="400" w:lineRule="exact"/>
              <w:contextualSpacing/>
              <w:jc w:val="center"/>
            </w:pPr>
            <w:r>
              <w:rPr>
                <w:rFonts w:hint="eastAsia"/>
              </w:rPr>
              <w:t>项目</w:t>
            </w:r>
          </w:p>
        </w:tc>
        <w:tc>
          <w:tcPr>
            <w:tcW w:w="1276" w:type="dxa"/>
            <w:vAlign w:val="center"/>
          </w:tcPr>
          <w:p w14:paraId="31D60088">
            <w:pPr>
              <w:snapToGrid w:val="0"/>
              <w:spacing w:line="400" w:lineRule="exact"/>
              <w:contextualSpacing/>
              <w:jc w:val="center"/>
            </w:pPr>
            <w:r>
              <w:rPr>
                <w:rFonts w:hint="eastAsia"/>
              </w:rPr>
              <w:t>是否符合</w:t>
            </w:r>
          </w:p>
        </w:tc>
        <w:tc>
          <w:tcPr>
            <w:tcW w:w="1502" w:type="dxa"/>
            <w:vAlign w:val="center"/>
          </w:tcPr>
          <w:p w14:paraId="79DF39E5">
            <w:pPr>
              <w:snapToGrid w:val="0"/>
              <w:spacing w:line="400" w:lineRule="exact"/>
              <w:contextualSpacing/>
              <w:jc w:val="center"/>
            </w:pPr>
            <w:r>
              <w:rPr>
                <w:rFonts w:hint="eastAsia"/>
              </w:rPr>
              <w:t>备注</w:t>
            </w:r>
          </w:p>
        </w:tc>
      </w:tr>
      <w:tr w14:paraId="2B61F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4" w:type="dxa"/>
            <w:gridSpan w:val="4"/>
            <w:vAlign w:val="center"/>
          </w:tcPr>
          <w:p w14:paraId="02E52250">
            <w:pPr>
              <w:snapToGrid w:val="0"/>
              <w:spacing w:line="400" w:lineRule="exact"/>
              <w:contextualSpacing/>
              <w:rPr>
                <w:rFonts w:cs="Arial"/>
                <w:szCs w:val="21"/>
              </w:rPr>
            </w:pPr>
            <w:r>
              <w:rPr>
                <w:rFonts w:hint="eastAsia" w:cs="Arial"/>
                <w:szCs w:val="21"/>
              </w:rPr>
              <w:t>一、天使母基金参股的子基金应符合以下条件：</w:t>
            </w:r>
          </w:p>
        </w:tc>
      </w:tr>
      <w:tr w14:paraId="654F3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687AE17D">
            <w:pPr>
              <w:snapToGrid w:val="0"/>
              <w:spacing w:line="400" w:lineRule="exact"/>
              <w:contextualSpacing/>
            </w:pPr>
            <w:r>
              <w:rPr>
                <w:rFonts w:hint="eastAsia"/>
              </w:rPr>
              <w:t>基金类型</w:t>
            </w:r>
          </w:p>
        </w:tc>
        <w:tc>
          <w:tcPr>
            <w:tcW w:w="5822" w:type="dxa"/>
            <w:vAlign w:val="center"/>
          </w:tcPr>
          <w:p w14:paraId="4D297504">
            <w:pPr>
              <w:snapToGrid w:val="0"/>
              <w:spacing w:line="400" w:lineRule="exact"/>
              <w:contextualSpacing/>
            </w:pPr>
            <w:r>
              <w:rPr>
                <w:rFonts w:hint="eastAsia"/>
              </w:rPr>
              <w:t>直接股权投资方式投资于天使类项目的天使投资基金。</w:t>
            </w:r>
          </w:p>
        </w:tc>
        <w:tc>
          <w:tcPr>
            <w:tcW w:w="1276" w:type="dxa"/>
            <w:vAlign w:val="center"/>
          </w:tcPr>
          <w:p w14:paraId="4A7AF6EA">
            <w:pPr>
              <w:keepNext/>
              <w:keepLines/>
              <w:snapToGrid w:val="0"/>
              <w:spacing w:before="260" w:after="260" w:line="400" w:lineRule="exact"/>
              <w:contextualSpacing/>
              <w:rPr>
                <w:rFonts w:cs="Arial"/>
                <w:szCs w:val="21"/>
              </w:rPr>
            </w:pPr>
          </w:p>
        </w:tc>
        <w:tc>
          <w:tcPr>
            <w:tcW w:w="1502" w:type="dxa"/>
            <w:vAlign w:val="center"/>
          </w:tcPr>
          <w:p w14:paraId="6A5F4E64">
            <w:pPr>
              <w:keepNext/>
              <w:keepLines/>
              <w:snapToGrid w:val="0"/>
              <w:spacing w:before="260" w:after="260" w:line="400" w:lineRule="exact"/>
              <w:contextualSpacing/>
              <w:rPr>
                <w:rFonts w:cs="Arial"/>
                <w:szCs w:val="21"/>
              </w:rPr>
            </w:pPr>
          </w:p>
        </w:tc>
      </w:tr>
      <w:tr w14:paraId="530E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2AAE902A">
            <w:pPr>
              <w:snapToGrid w:val="0"/>
              <w:spacing w:line="400" w:lineRule="exact"/>
              <w:contextualSpacing/>
            </w:pPr>
            <w:r>
              <w:rPr>
                <w:rFonts w:hint="eastAsia"/>
              </w:rPr>
              <w:t>经营区域</w:t>
            </w:r>
          </w:p>
        </w:tc>
        <w:tc>
          <w:tcPr>
            <w:tcW w:w="5822" w:type="dxa"/>
            <w:vAlign w:val="center"/>
          </w:tcPr>
          <w:p w14:paraId="05DD5ED9">
            <w:pPr>
              <w:snapToGrid w:val="0"/>
              <w:spacing w:line="400" w:lineRule="exact"/>
              <w:contextualSpacing/>
            </w:pPr>
            <w:r>
              <w:rPr>
                <w:rFonts w:hint="eastAsia"/>
              </w:rPr>
              <w:t>子基金须在深圳市（含深汕特别合作区，下同）实际从事经营活动，原则上应注册在深圳市。</w:t>
            </w:r>
          </w:p>
        </w:tc>
        <w:tc>
          <w:tcPr>
            <w:tcW w:w="1276" w:type="dxa"/>
            <w:vAlign w:val="center"/>
          </w:tcPr>
          <w:p w14:paraId="188C582B">
            <w:pPr>
              <w:keepNext/>
              <w:keepLines/>
              <w:snapToGrid w:val="0"/>
              <w:spacing w:before="260" w:after="260" w:line="400" w:lineRule="exact"/>
              <w:contextualSpacing/>
              <w:rPr>
                <w:rFonts w:cs="Arial"/>
                <w:szCs w:val="21"/>
              </w:rPr>
            </w:pPr>
          </w:p>
        </w:tc>
        <w:tc>
          <w:tcPr>
            <w:tcW w:w="1502" w:type="dxa"/>
            <w:vAlign w:val="center"/>
          </w:tcPr>
          <w:p w14:paraId="5B1F18F9">
            <w:pPr>
              <w:keepNext/>
              <w:keepLines/>
              <w:snapToGrid w:val="0"/>
              <w:spacing w:before="260" w:after="260" w:line="400" w:lineRule="exact"/>
              <w:contextualSpacing/>
              <w:rPr>
                <w:rFonts w:cs="Arial"/>
                <w:szCs w:val="21"/>
              </w:rPr>
            </w:pPr>
          </w:p>
        </w:tc>
      </w:tr>
      <w:tr w14:paraId="7208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5B441A84">
            <w:pPr>
              <w:snapToGrid w:val="0"/>
              <w:spacing w:line="400" w:lineRule="exact"/>
              <w:contextualSpacing/>
              <w:jc w:val="center"/>
              <w:rPr>
                <w:sz w:val="18"/>
              </w:rPr>
            </w:pPr>
            <w:r>
              <w:rPr>
                <w:rFonts w:hint="eastAsia"/>
              </w:rPr>
              <w:t>基金规模及出资比例</w:t>
            </w:r>
          </w:p>
        </w:tc>
        <w:tc>
          <w:tcPr>
            <w:tcW w:w="5822" w:type="dxa"/>
            <w:vAlign w:val="center"/>
          </w:tcPr>
          <w:p w14:paraId="5EBA19EF">
            <w:pPr>
              <w:snapToGrid w:val="0"/>
              <w:spacing w:line="400" w:lineRule="exact"/>
              <w:contextualSpacing/>
              <w:rPr>
                <w:rFonts w:hint="eastAsia" w:ascii="宋体" w:hAnsi="宋体"/>
                <w:szCs w:val="21"/>
              </w:rPr>
            </w:pPr>
            <w:r>
              <w:rPr>
                <w:rFonts w:hint="eastAsia"/>
              </w:rPr>
              <w:t>天使母基金对单支子基金出资规模原则上不超过</w:t>
            </w:r>
            <w:r>
              <w:t>2</w:t>
            </w:r>
            <w:r>
              <w:rPr>
                <w:rFonts w:hint="eastAsia"/>
              </w:rPr>
              <w:t>亿元，且</w:t>
            </w:r>
            <w:r>
              <w:rPr>
                <w:rFonts w:hint="eastAsia" w:ascii="宋体" w:hAnsi="宋体"/>
                <w:szCs w:val="21"/>
              </w:rPr>
              <w:t>子基金向天使母基金申请的出资比例原则上不超过子基金认缴出资总金额的</w:t>
            </w:r>
            <w:r>
              <w:rPr>
                <w:rFonts w:ascii="宋体" w:hAnsi="宋体"/>
                <w:szCs w:val="21"/>
              </w:rPr>
              <w:t>40%。</w:t>
            </w:r>
          </w:p>
        </w:tc>
        <w:tc>
          <w:tcPr>
            <w:tcW w:w="1276" w:type="dxa"/>
            <w:vAlign w:val="center"/>
          </w:tcPr>
          <w:p w14:paraId="2481D9D1">
            <w:pPr>
              <w:snapToGrid w:val="0"/>
              <w:spacing w:line="400" w:lineRule="exact"/>
              <w:contextualSpacing/>
              <w:rPr>
                <w:rFonts w:cs="Arial"/>
                <w:szCs w:val="21"/>
              </w:rPr>
            </w:pPr>
          </w:p>
        </w:tc>
        <w:tc>
          <w:tcPr>
            <w:tcW w:w="1502" w:type="dxa"/>
            <w:vAlign w:val="center"/>
          </w:tcPr>
          <w:p w14:paraId="248DE14C">
            <w:pPr>
              <w:snapToGrid w:val="0"/>
              <w:spacing w:line="400" w:lineRule="exact"/>
              <w:contextualSpacing/>
              <w:rPr>
                <w:rFonts w:cs="Arial"/>
                <w:szCs w:val="21"/>
              </w:rPr>
            </w:pPr>
          </w:p>
        </w:tc>
      </w:tr>
      <w:tr w14:paraId="4965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5A9A20AF">
            <w:pPr>
              <w:snapToGrid w:val="0"/>
              <w:spacing w:line="400" w:lineRule="exact"/>
              <w:contextualSpacing/>
            </w:pPr>
            <w:r>
              <w:rPr>
                <w:rFonts w:hint="eastAsia"/>
              </w:rPr>
              <w:t>存续期限</w:t>
            </w:r>
          </w:p>
        </w:tc>
        <w:tc>
          <w:tcPr>
            <w:tcW w:w="5822" w:type="dxa"/>
            <w:vAlign w:val="center"/>
          </w:tcPr>
          <w:p w14:paraId="65E4CA57">
            <w:pPr>
              <w:snapToGrid w:val="0"/>
              <w:spacing w:line="400" w:lineRule="exact"/>
              <w:contextualSpacing/>
              <w:rPr>
                <w:rFonts w:hint="eastAsia" w:ascii="宋体" w:hAnsi="宋体"/>
                <w:szCs w:val="21"/>
              </w:rPr>
            </w:pPr>
            <w:r>
              <w:rPr>
                <w:rFonts w:hint="eastAsia" w:ascii="宋体" w:hAnsi="宋体"/>
                <w:szCs w:val="21"/>
              </w:rPr>
              <w:t>不超过</w:t>
            </w:r>
            <w:r>
              <w:rPr>
                <w:rFonts w:ascii="宋体" w:hAnsi="宋体"/>
                <w:szCs w:val="21"/>
              </w:rPr>
              <w:t>1</w:t>
            </w:r>
            <w:r>
              <w:rPr>
                <w:rFonts w:hint="eastAsia" w:ascii="宋体" w:hAnsi="宋体"/>
                <w:szCs w:val="21"/>
              </w:rPr>
              <w:t>5</w:t>
            </w:r>
            <w:r>
              <w:rPr>
                <w:rFonts w:ascii="宋体" w:hAnsi="宋体"/>
                <w:szCs w:val="21"/>
              </w:rPr>
              <w:t>年。</w:t>
            </w:r>
          </w:p>
        </w:tc>
        <w:tc>
          <w:tcPr>
            <w:tcW w:w="1276" w:type="dxa"/>
            <w:vAlign w:val="center"/>
          </w:tcPr>
          <w:p w14:paraId="1533539C">
            <w:pPr>
              <w:keepNext/>
              <w:keepLines/>
              <w:snapToGrid w:val="0"/>
              <w:spacing w:before="260" w:after="260" w:line="400" w:lineRule="exact"/>
              <w:contextualSpacing/>
              <w:rPr>
                <w:rFonts w:cs="Arial"/>
                <w:szCs w:val="21"/>
              </w:rPr>
            </w:pPr>
          </w:p>
        </w:tc>
        <w:tc>
          <w:tcPr>
            <w:tcW w:w="1502" w:type="dxa"/>
            <w:vAlign w:val="center"/>
          </w:tcPr>
          <w:p w14:paraId="6D1B3FA4">
            <w:pPr>
              <w:keepNext/>
              <w:keepLines/>
              <w:snapToGrid w:val="0"/>
              <w:spacing w:before="260" w:after="260" w:line="400" w:lineRule="exact"/>
              <w:contextualSpacing/>
              <w:rPr>
                <w:rFonts w:cs="Arial"/>
                <w:szCs w:val="21"/>
              </w:rPr>
            </w:pPr>
          </w:p>
        </w:tc>
      </w:tr>
      <w:tr w14:paraId="5C676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52BBDD4C">
            <w:pPr>
              <w:snapToGrid w:val="0"/>
              <w:spacing w:line="400" w:lineRule="exact"/>
              <w:contextualSpacing/>
            </w:pPr>
            <w:r>
              <w:rPr>
                <w:rFonts w:hint="eastAsia"/>
              </w:rPr>
              <w:t>投资标的</w:t>
            </w:r>
          </w:p>
        </w:tc>
        <w:tc>
          <w:tcPr>
            <w:tcW w:w="5822" w:type="dxa"/>
            <w:vAlign w:val="center"/>
          </w:tcPr>
          <w:p w14:paraId="0C259F41">
            <w:pPr>
              <w:snapToGrid w:val="0"/>
              <w:spacing w:line="400" w:lineRule="exact"/>
              <w:contextualSpacing/>
              <w:rPr>
                <w:rFonts w:hint="eastAsia" w:ascii="宋体" w:hAnsi="宋体" w:cs="宋体"/>
                <w:szCs w:val="21"/>
              </w:rPr>
            </w:pPr>
            <w:r>
              <w:rPr>
                <w:rFonts w:hint="eastAsia"/>
              </w:rPr>
              <w:t>子基金须全部投向天使类项目（子基金后续追加投资的项目除外），天使类项目被投资企业原则上须满足以下规定：一是子基金的投资须为其首两轮外部机构投资或子基金投资决策时企业设立时间不超过</w:t>
            </w:r>
            <w:r>
              <w:t>5</w:t>
            </w:r>
            <w:r>
              <w:rPr>
                <w:rFonts w:hint="eastAsia"/>
              </w:rPr>
              <w:t>年；二是从业人数不超过</w:t>
            </w:r>
            <w:r>
              <w:t>200</w:t>
            </w:r>
            <w:r>
              <w:rPr>
                <w:rFonts w:hint="eastAsia"/>
              </w:rPr>
              <w:t>人，资产总额或年销售收入不超过</w:t>
            </w:r>
            <w:r>
              <w:t>2000</w:t>
            </w:r>
            <w:r>
              <w:rPr>
                <w:rFonts w:hint="eastAsia"/>
              </w:rPr>
              <w:t>万元人民币；三是从事产品研发、生产和服务等符合</w:t>
            </w:r>
            <w:r>
              <w:rPr>
                <w:rFonts w:hint="eastAsia" w:ascii="宋体" w:hAnsi="宋体"/>
                <w:szCs w:val="21"/>
              </w:rPr>
              <w:t>本申报指南及遴选办法第四条第（七）项要求的产业（深圳市</w:t>
            </w:r>
            <w:r>
              <w:rPr>
                <w:rFonts w:hint="eastAsia" w:ascii="宋体" w:hAnsi="宋体" w:cs="宋体"/>
                <w:szCs w:val="21"/>
              </w:rPr>
              <w:t>扶持和鼓励发展的战略性新兴产业、未来产业和其他政府重点发展的产业）。对于特殊情形下突破上述规定的投资标的，可由管理公司审批同意后报市国资委报备。</w:t>
            </w:r>
            <w:r>
              <w:rPr>
                <w:rFonts w:hint="eastAsia"/>
              </w:rPr>
              <w:t>子基金后续追加投资的项目不受上述标准限制。追加投资是指子基金对已经投资的超出天使类项目标准的项目再次投资的行为。</w:t>
            </w:r>
          </w:p>
        </w:tc>
        <w:tc>
          <w:tcPr>
            <w:tcW w:w="1276" w:type="dxa"/>
            <w:vAlign w:val="center"/>
          </w:tcPr>
          <w:p w14:paraId="1A5B30A5">
            <w:pPr>
              <w:keepNext/>
              <w:keepLines/>
              <w:snapToGrid w:val="0"/>
              <w:spacing w:before="260" w:after="260" w:line="400" w:lineRule="exact"/>
              <w:contextualSpacing/>
              <w:rPr>
                <w:szCs w:val="21"/>
              </w:rPr>
            </w:pPr>
          </w:p>
        </w:tc>
        <w:tc>
          <w:tcPr>
            <w:tcW w:w="1502" w:type="dxa"/>
            <w:vAlign w:val="center"/>
          </w:tcPr>
          <w:p w14:paraId="3765EDFA">
            <w:pPr>
              <w:pStyle w:val="15"/>
              <w:keepNext/>
              <w:keepLines/>
              <w:snapToGrid w:val="0"/>
              <w:spacing w:before="260" w:after="260" w:line="400" w:lineRule="exact"/>
              <w:ind w:left="360" w:firstLine="0" w:firstLineChars="0"/>
              <w:contextualSpacing/>
              <w:rPr>
                <w:szCs w:val="21"/>
              </w:rPr>
            </w:pPr>
          </w:p>
        </w:tc>
      </w:tr>
      <w:tr w14:paraId="2B25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Merge w:val="restart"/>
            <w:vAlign w:val="center"/>
          </w:tcPr>
          <w:p w14:paraId="79AA840E">
            <w:pPr>
              <w:snapToGrid w:val="0"/>
              <w:spacing w:line="400" w:lineRule="exact"/>
              <w:contextualSpacing/>
            </w:pPr>
            <w:r>
              <w:rPr>
                <w:rFonts w:hint="eastAsia"/>
              </w:rPr>
              <w:t>投资限额</w:t>
            </w:r>
          </w:p>
        </w:tc>
        <w:tc>
          <w:tcPr>
            <w:tcW w:w="5822" w:type="dxa"/>
            <w:vAlign w:val="center"/>
          </w:tcPr>
          <w:p w14:paraId="1D9917EE">
            <w:pPr>
              <w:snapToGrid w:val="0"/>
              <w:spacing w:line="400" w:lineRule="exact"/>
              <w:contextualSpacing/>
            </w:pPr>
            <w:r>
              <w:rPr>
                <w:rFonts w:hint="eastAsia"/>
              </w:rPr>
              <w:t>子基金对单个项目的投资额原则上不超过子基金总规模的</w:t>
            </w:r>
            <w:r>
              <w:t>10%</w:t>
            </w:r>
            <w:r>
              <w:rPr>
                <w:rFonts w:hint="eastAsia"/>
              </w:rPr>
              <w:t>。投资期内，子基金可对其已投项目进行追加投资，用于追加投资的额度不超过子基金总规模的</w:t>
            </w:r>
            <w:r>
              <w:t>30%，追加投资后单个项目累计投资额不超过子基金总规模的20%</w:t>
            </w:r>
            <w:r>
              <w:rPr>
                <w:rFonts w:hint="eastAsia"/>
              </w:rPr>
              <w:t>。</w:t>
            </w:r>
          </w:p>
        </w:tc>
        <w:tc>
          <w:tcPr>
            <w:tcW w:w="1276" w:type="dxa"/>
            <w:vAlign w:val="center"/>
          </w:tcPr>
          <w:p w14:paraId="1537CF45">
            <w:pPr>
              <w:keepNext/>
              <w:keepLines/>
              <w:snapToGrid w:val="0"/>
              <w:spacing w:before="260" w:after="260" w:line="400" w:lineRule="exact"/>
              <w:contextualSpacing/>
              <w:rPr>
                <w:szCs w:val="21"/>
              </w:rPr>
            </w:pPr>
          </w:p>
        </w:tc>
        <w:tc>
          <w:tcPr>
            <w:tcW w:w="1502" w:type="dxa"/>
            <w:vAlign w:val="center"/>
          </w:tcPr>
          <w:p w14:paraId="19173A53">
            <w:pPr>
              <w:keepNext/>
              <w:keepLines/>
              <w:snapToGrid w:val="0"/>
              <w:spacing w:before="260" w:after="260" w:line="400" w:lineRule="exact"/>
              <w:contextualSpacing/>
              <w:rPr>
                <w:szCs w:val="21"/>
              </w:rPr>
            </w:pPr>
          </w:p>
        </w:tc>
      </w:tr>
      <w:tr w14:paraId="11D3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Merge w:val="continue"/>
            <w:vAlign w:val="center"/>
          </w:tcPr>
          <w:p w14:paraId="4D64B4B6">
            <w:pPr>
              <w:keepNext/>
              <w:keepLines/>
              <w:snapToGrid w:val="0"/>
              <w:spacing w:before="260" w:after="260" w:line="400" w:lineRule="exact"/>
              <w:contextualSpacing/>
            </w:pPr>
          </w:p>
        </w:tc>
        <w:tc>
          <w:tcPr>
            <w:tcW w:w="5822" w:type="dxa"/>
            <w:vAlign w:val="center"/>
          </w:tcPr>
          <w:p w14:paraId="2B758E99">
            <w:pPr>
              <w:snapToGrid w:val="0"/>
              <w:spacing w:line="400" w:lineRule="exact"/>
              <w:contextualSpacing/>
            </w:pPr>
            <w:r>
              <w:rPr>
                <w:rFonts w:hint="eastAsia"/>
              </w:rPr>
              <w:t>除经子基金合伙人大会或股东（大）会审议通过外，子基金计划投资的项目总数不低于</w:t>
            </w:r>
            <w:r>
              <w:t>20</w:t>
            </w:r>
            <w:r>
              <w:rPr>
                <w:rFonts w:hint="eastAsia"/>
              </w:rPr>
              <w:t>个。</w:t>
            </w:r>
          </w:p>
        </w:tc>
        <w:tc>
          <w:tcPr>
            <w:tcW w:w="1276" w:type="dxa"/>
            <w:vAlign w:val="center"/>
          </w:tcPr>
          <w:p w14:paraId="57EC4D4F">
            <w:pPr>
              <w:keepNext/>
              <w:keepLines/>
              <w:snapToGrid w:val="0"/>
              <w:spacing w:before="260" w:after="260" w:line="400" w:lineRule="exact"/>
              <w:contextualSpacing/>
              <w:rPr>
                <w:szCs w:val="21"/>
              </w:rPr>
            </w:pPr>
          </w:p>
        </w:tc>
        <w:tc>
          <w:tcPr>
            <w:tcW w:w="1502" w:type="dxa"/>
            <w:vAlign w:val="center"/>
          </w:tcPr>
          <w:p w14:paraId="1F5EC5B7">
            <w:pPr>
              <w:keepNext/>
              <w:keepLines/>
              <w:snapToGrid w:val="0"/>
              <w:spacing w:before="260" w:after="260" w:line="400" w:lineRule="exact"/>
              <w:contextualSpacing/>
              <w:rPr>
                <w:szCs w:val="21"/>
              </w:rPr>
            </w:pPr>
          </w:p>
        </w:tc>
      </w:tr>
      <w:tr w14:paraId="7F7F8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01B4131E">
            <w:pPr>
              <w:keepNext/>
              <w:keepLines/>
              <w:snapToGrid w:val="0"/>
              <w:spacing w:before="260" w:after="260" w:line="400" w:lineRule="exact"/>
              <w:contextualSpacing/>
              <w:jc w:val="center"/>
            </w:pPr>
            <w:r>
              <w:rPr>
                <w:rFonts w:hint="eastAsia"/>
              </w:rPr>
              <w:t>子基金管理机构或其关联方</w:t>
            </w:r>
          </w:p>
        </w:tc>
        <w:tc>
          <w:tcPr>
            <w:tcW w:w="5822" w:type="dxa"/>
            <w:vAlign w:val="center"/>
          </w:tcPr>
          <w:p w14:paraId="744E2788">
            <w:pPr>
              <w:snapToGrid w:val="0"/>
              <w:spacing w:line="400" w:lineRule="exact"/>
              <w:contextualSpacing/>
              <w:rPr>
                <w:rFonts w:hint="eastAsia" w:ascii="宋体" w:hAnsi="宋体"/>
                <w:szCs w:val="21"/>
              </w:rPr>
            </w:pPr>
            <w:r>
              <w:rPr>
                <w:rFonts w:hint="eastAsia" w:ascii="宋体" w:hAnsi="宋体"/>
                <w:szCs w:val="21"/>
              </w:rPr>
              <w:t>子基金管理机构或其关联方对子基金的出资比例不低于5</w:t>
            </w:r>
            <w:r>
              <w:rPr>
                <w:rFonts w:ascii="宋体" w:hAnsi="宋体"/>
                <w:szCs w:val="21"/>
              </w:rPr>
              <w:t>%</w:t>
            </w:r>
            <w:r>
              <w:rPr>
                <w:rFonts w:hint="eastAsia" w:ascii="宋体" w:hAnsi="宋体"/>
                <w:szCs w:val="21"/>
              </w:rPr>
              <w:t>，其中子子基金管理机构自身出资比例不低于</w:t>
            </w:r>
            <w:r>
              <w:rPr>
                <w:rFonts w:ascii="宋体" w:hAnsi="宋体"/>
                <w:szCs w:val="21"/>
              </w:rPr>
              <w:t>1%。</w:t>
            </w:r>
          </w:p>
          <w:p w14:paraId="754F911B">
            <w:pPr>
              <w:snapToGrid w:val="0"/>
              <w:spacing w:line="400" w:lineRule="exact"/>
              <w:contextualSpacing/>
              <w:rPr>
                <w:rFonts w:hint="eastAsia" w:ascii="宋体" w:hAnsi="宋体"/>
                <w:szCs w:val="21"/>
              </w:rPr>
            </w:pPr>
            <w:r>
              <w:rPr>
                <w:rFonts w:hint="eastAsia" w:ascii="宋体" w:hAnsi="宋体"/>
                <w:szCs w:val="21"/>
              </w:rPr>
              <w:t>子基金</w:t>
            </w:r>
            <w:r>
              <w:rPr>
                <w:rFonts w:ascii="宋体" w:hAnsi="宋体"/>
                <w:szCs w:val="21"/>
              </w:rPr>
              <w:t>管理机构不在深圳注册的，应</w:t>
            </w:r>
            <w:r>
              <w:rPr>
                <w:rFonts w:hint="eastAsia" w:ascii="宋体" w:hAnsi="宋体"/>
                <w:szCs w:val="21"/>
              </w:rPr>
              <w:t>指定</w:t>
            </w:r>
            <w:r>
              <w:rPr>
                <w:rFonts w:ascii="宋体" w:hAnsi="宋体"/>
                <w:szCs w:val="21"/>
              </w:rPr>
              <w:t>其在深圳注册的关联方出资并承担相应法律责任</w:t>
            </w:r>
            <w:r>
              <w:rPr>
                <w:rFonts w:hint="eastAsia" w:ascii="宋体" w:hAnsi="宋体"/>
                <w:szCs w:val="21"/>
              </w:rPr>
              <w:t>，</w:t>
            </w:r>
            <w:r>
              <w:rPr>
                <w:rFonts w:ascii="宋体" w:hAnsi="宋体"/>
                <w:szCs w:val="21"/>
              </w:rPr>
              <w:t>且</w:t>
            </w:r>
            <w:r>
              <w:rPr>
                <w:rFonts w:hint="eastAsia" w:ascii="宋体" w:hAnsi="宋体"/>
                <w:szCs w:val="21"/>
              </w:rPr>
              <w:t>子基金申请机构/管理机构及出资关联方就子基金各项事宜须承担连带责任，并作出书面承诺。</w:t>
            </w:r>
          </w:p>
        </w:tc>
        <w:tc>
          <w:tcPr>
            <w:tcW w:w="1276" w:type="dxa"/>
            <w:vAlign w:val="center"/>
          </w:tcPr>
          <w:p w14:paraId="087E9D97">
            <w:pPr>
              <w:snapToGrid w:val="0"/>
              <w:spacing w:line="400" w:lineRule="exact"/>
              <w:contextualSpacing/>
              <w:rPr>
                <w:rFonts w:hint="eastAsia" w:ascii="宋体" w:hAnsi="宋体"/>
                <w:szCs w:val="21"/>
              </w:rPr>
            </w:pPr>
          </w:p>
        </w:tc>
        <w:tc>
          <w:tcPr>
            <w:tcW w:w="1502" w:type="dxa"/>
            <w:vAlign w:val="center"/>
          </w:tcPr>
          <w:p w14:paraId="7C70692B">
            <w:pPr>
              <w:snapToGrid w:val="0"/>
              <w:spacing w:line="400" w:lineRule="exact"/>
              <w:contextualSpacing/>
              <w:rPr>
                <w:rFonts w:hint="eastAsia" w:ascii="宋体" w:hAnsi="宋体"/>
                <w:szCs w:val="21"/>
              </w:rPr>
            </w:pPr>
          </w:p>
        </w:tc>
      </w:tr>
      <w:tr w14:paraId="51EA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59D5F056">
            <w:pPr>
              <w:snapToGrid w:val="0"/>
              <w:spacing w:line="400" w:lineRule="exact"/>
              <w:contextualSpacing/>
            </w:pPr>
            <w:r>
              <w:rPr>
                <w:rFonts w:hint="eastAsia"/>
              </w:rPr>
              <w:t>后出资</w:t>
            </w:r>
          </w:p>
        </w:tc>
        <w:tc>
          <w:tcPr>
            <w:tcW w:w="5822" w:type="dxa"/>
            <w:vAlign w:val="center"/>
          </w:tcPr>
          <w:p w14:paraId="7F71F65E">
            <w:pPr>
              <w:snapToGrid w:val="0"/>
              <w:spacing w:line="400" w:lineRule="exact"/>
              <w:contextualSpacing/>
            </w:pPr>
            <w:r>
              <w:rPr>
                <w:rFonts w:hint="eastAsia" w:ascii="宋体" w:hAnsi="宋体"/>
                <w:szCs w:val="21"/>
              </w:rPr>
              <w:t>天使母基金有权在其他投资人（政府引导基金除外）的出资款实际到位后再行出资。</w:t>
            </w:r>
          </w:p>
        </w:tc>
        <w:tc>
          <w:tcPr>
            <w:tcW w:w="1276" w:type="dxa"/>
            <w:vAlign w:val="center"/>
          </w:tcPr>
          <w:p w14:paraId="52058043">
            <w:pPr>
              <w:keepNext/>
              <w:keepLines/>
              <w:snapToGrid w:val="0"/>
              <w:spacing w:before="260" w:after="260" w:line="400" w:lineRule="exact"/>
              <w:contextualSpacing/>
              <w:rPr>
                <w:rFonts w:hint="eastAsia" w:ascii="宋体" w:hAnsi="宋体"/>
                <w:szCs w:val="21"/>
              </w:rPr>
            </w:pPr>
          </w:p>
        </w:tc>
        <w:tc>
          <w:tcPr>
            <w:tcW w:w="1502" w:type="dxa"/>
            <w:vAlign w:val="center"/>
          </w:tcPr>
          <w:p w14:paraId="38167DF4">
            <w:pPr>
              <w:keepNext/>
              <w:keepLines/>
              <w:snapToGrid w:val="0"/>
              <w:spacing w:before="260" w:after="260" w:line="400" w:lineRule="exact"/>
              <w:contextualSpacing/>
              <w:rPr>
                <w:rFonts w:hint="eastAsia" w:ascii="宋体" w:hAnsi="宋体"/>
                <w:szCs w:val="21"/>
              </w:rPr>
            </w:pPr>
          </w:p>
        </w:tc>
      </w:tr>
      <w:tr w14:paraId="6F30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3A4F7561">
            <w:pPr>
              <w:snapToGrid w:val="0"/>
              <w:spacing w:line="400" w:lineRule="exact"/>
              <w:contextualSpacing/>
            </w:pPr>
            <w:r>
              <w:rPr>
                <w:rFonts w:hint="eastAsia"/>
              </w:rPr>
              <w:t>管理费</w:t>
            </w:r>
          </w:p>
        </w:tc>
        <w:tc>
          <w:tcPr>
            <w:tcW w:w="5822" w:type="dxa"/>
            <w:vAlign w:val="center"/>
          </w:tcPr>
          <w:p w14:paraId="1556E641">
            <w:pPr>
              <w:snapToGrid w:val="0"/>
              <w:spacing w:line="400" w:lineRule="exact"/>
              <w:contextualSpacing/>
              <w:rPr>
                <w:rFonts w:hint="eastAsia" w:ascii="宋体" w:hAnsi="宋体"/>
                <w:szCs w:val="21"/>
              </w:rPr>
            </w:pPr>
            <w:r>
              <w:rPr>
                <w:rFonts w:hint="eastAsia" w:ascii="宋体" w:hAnsi="宋体"/>
                <w:szCs w:val="21"/>
              </w:rPr>
              <w:t>投资期内每年按不超过子基金实缴金额扣除已收回本金后的2.5%收取；退出期内每年按不超过已投未退金额的1.5%收取；延长期（退出期到期后的基金剩余存续期限）不收取管理费；子基金对天使母基金收取管理费的标准不得高于其他出资人（子基金员工跟投出资平台除外）。</w:t>
            </w:r>
          </w:p>
        </w:tc>
        <w:tc>
          <w:tcPr>
            <w:tcW w:w="1276" w:type="dxa"/>
            <w:vAlign w:val="center"/>
          </w:tcPr>
          <w:p w14:paraId="41CC0130">
            <w:pPr>
              <w:snapToGrid w:val="0"/>
              <w:spacing w:line="400" w:lineRule="exact"/>
              <w:contextualSpacing/>
              <w:rPr>
                <w:rFonts w:hint="eastAsia" w:ascii="宋体" w:hAnsi="宋体"/>
                <w:szCs w:val="21"/>
              </w:rPr>
            </w:pPr>
          </w:p>
        </w:tc>
        <w:tc>
          <w:tcPr>
            <w:tcW w:w="1502" w:type="dxa"/>
            <w:vAlign w:val="center"/>
          </w:tcPr>
          <w:p w14:paraId="4A566368">
            <w:pPr>
              <w:snapToGrid w:val="0"/>
              <w:spacing w:line="400" w:lineRule="exact"/>
              <w:contextualSpacing/>
              <w:rPr>
                <w:rFonts w:hint="eastAsia" w:ascii="宋体" w:hAnsi="宋体"/>
                <w:szCs w:val="21"/>
              </w:rPr>
            </w:pPr>
          </w:p>
        </w:tc>
      </w:tr>
      <w:tr w14:paraId="239B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2EC0F4BA">
            <w:pPr>
              <w:snapToGrid w:val="0"/>
              <w:spacing w:line="400" w:lineRule="exact"/>
              <w:contextualSpacing/>
            </w:pPr>
            <w:r>
              <w:rPr>
                <w:rFonts w:hint="eastAsia"/>
              </w:rPr>
              <w:t>收益分配</w:t>
            </w:r>
          </w:p>
        </w:tc>
        <w:tc>
          <w:tcPr>
            <w:tcW w:w="5822" w:type="dxa"/>
            <w:vAlign w:val="center"/>
          </w:tcPr>
          <w:p w14:paraId="3E9488E1">
            <w:pPr>
              <w:snapToGrid w:val="0"/>
              <w:spacing w:line="400" w:lineRule="exact"/>
              <w:contextualSpacing/>
              <w:rPr>
                <w:rFonts w:hint="eastAsia" w:ascii="宋体" w:hAnsi="宋体"/>
                <w:szCs w:val="21"/>
              </w:rPr>
            </w:pPr>
            <w:r>
              <w:rPr>
                <w:rFonts w:hint="eastAsia" w:ascii="宋体" w:hAnsi="宋体"/>
                <w:szCs w:val="21"/>
              </w:rPr>
              <w:t>子基金投资项目退出后，投资回收资金不得再用于对外投资，须及时按合伙协议（或公司章程）约定向投资人进行分配。分配采取整体“先回本后分利”方式，投资回收资金先按照子基金各出资人实缴出资比例分配给各出资人，直至各出资人收回全部实缴出资，剩余的投资收益再按照子基金合伙协议（或公司章程）等约定的方式予以分配。</w:t>
            </w:r>
          </w:p>
          <w:p w14:paraId="3B795FCF">
            <w:pPr>
              <w:snapToGrid w:val="0"/>
              <w:spacing w:line="400" w:lineRule="exact"/>
              <w:contextualSpacing/>
              <w:rPr>
                <w:rFonts w:hint="eastAsia" w:ascii="宋体" w:hAnsi="宋体"/>
                <w:szCs w:val="21"/>
              </w:rPr>
            </w:pPr>
            <w:r>
              <w:rPr>
                <w:rFonts w:hint="eastAsia" w:ascii="宋体" w:hAnsi="宋体"/>
                <w:szCs w:val="21"/>
              </w:rPr>
              <w:t>子基金清算出现亏损时，原则上应当首先由子基金管理机构（或其关联方）作为普通合伙人在基金中的出资承担，不足部分再由子基金各出资人按出资比例承担，天使母基金承担亏损金额以其出资额为上限。</w:t>
            </w:r>
          </w:p>
        </w:tc>
        <w:tc>
          <w:tcPr>
            <w:tcW w:w="1276" w:type="dxa"/>
            <w:vAlign w:val="center"/>
          </w:tcPr>
          <w:p w14:paraId="3A5D52AE">
            <w:pPr>
              <w:snapToGrid w:val="0"/>
              <w:spacing w:line="400" w:lineRule="exact"/>
              <w:contextualSpacing/>
              <w:rPr>
                <w:rFonts w:hint="eastAsia" w:ascii="宋体" w:hAnsi="宋体"/>
                <w:szCs w:val="21"/>
              </w:rPr>
            </w:pPr>
          </w:p>
        </w:tc>
        <w:tc>
          <w:tcPr>
            <w:tcW w:w="1502" w:type="dxa"/>
            <w:vAlign w:val="center"/>
          </w:tcPr>
          <w:p w14:paraId="2939A5D1">
            <w:pPr>
              <w:snapToGrid w:val="0"/>
              <w:spacing w:line="400" w:lineRule="exact"/>
              <w:contextualSpacing/>
              <w:rPr>
                <w:rFonts w:hint="eastAsia" w:ascii="宋体" w:hAnsi="宋体"/>
                <w:szCs w:val="21"/>
              </w:rPr>
            </w:pPr>
          </w:p>
        </w:tc>
      </w:tr>
      <w:tr w14:paraId="784C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10B9BC3B">
            <w:pPr>
              <w:snapToGrid w:val="0"/>
              <w:spacing w:line="400" w:lineRule="exact"/>
              <w:contextualSpacing/>
              <w:jc w:val="center"/>
            </w:pPr>
            <w:r>
              <w:rPr>
                <w:rFonts w:hint="eastAsia"/>
              </w:rPr>
              <w:t>回购及让利约定</w:t>
            </w:r>
          </w:p>
        </w:tc>
        <w:tc>
          <w:tcPr>
            <w:tcW w:w="5822" w:type="dxa"/>
            <w:vAlign w:val="center"/>
          </w:tcPr>
          <w:p w14:paraId="4076E838">
            <w:pPr>
              <w:snapToGrid w:val="0"/>
              <w:spacing w:line="400" w:lineRule="exact"/>
              <w:contextualSpacing/>
              <w:rPr>
                <w:rFonts w:hint="eastAsia" w:ascii="宋体" w:hAnsi="宋体"/>
                <w:szCs w:val="21"/>
              </w:rPr>
            </w:pPr>
            <w:r>
              <w:rPr>
                <w:rFonts w:hint="eastAsia" w:ascii="宋体" w:hAnsi="宋体"/>
                <w:szCs w:val="21"/>
              </w:rPr>
              <w:t>子基金选择回购或让利的，子基金请按照《深圳市天使投资引导基金申报指南</w:t>
            </w:r>
            <w:r>
              <w:rPr>
                <w:rFonts w:ascii="宋体" w:hAnsi="宋体"/>
                <w:szCs w:val="21"/>
              </w:rPr>
              <w:t>及</w:t>
            </w:r>
            <w:r>
              <w:rPr>
                <w:rFonts w:hint="eastAsia" w:ascii="宋体" w:hAnsi="宋体"/>
                <w:szCs w:val="21"/>
              </w:rPr>
              <w:t>遴选办法》第四条第（十三）项的规定执行。子基金存续期结束仍未能完成清算又不选择回购的，天使母基金有权处置其持有的基金份额且不予让利。</w:t>
            </w:r>
          </w:p>
        </w:tc>
        <w:tc>
          <w:tcPr>
            <w:tcW w:w="1276" w:type="dxa"/>
            <w:vAlign w:val="center"/>
          </w:tcPr>
          <w:p w14:paraId="2CB77C72">
            <w:pPr>
              <w:snapToGrid w:val="0"/>
              <w:spacing w:line="400" w:lineRule="exact"/>
              <w:contextualSpacing/>
              <w:rPr>
                <w:rFonts w:hint="eastAsia" w:ascii="宋体" w:hAnsi="宋体"/>
                <w:szCs w:val="21"/>
              </w:rPr>
            </w:pPr>
          </w:p>
        </w:tc>
        <w:tc>
          <w:tcPr>
            <w:tcW w:w="1502" w:type="dxa"/>
            <w:vAlign w:val="center"/>
          </w:tcPr>
          <w:p w14:paraId="162DDB90">
            <w:pPr>
              <w:snapToGrid w:val="0"/>
              <w:spacing w:line="400" w:lineRule="exact"/>
              <w:contextualSpacing/>
              <w:rPr>
                <w:rFonts w:hint="eastAsia" w:ascii="宋体" w:hAnsi="宋体"/>
                <w:szCs w:val="21"/>
              </w:rPr>
            </w:pPr>
          </w:p>
        </w:tc>
      </w:tr>
      <w:tr w14:paraId="2E89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3693D829">
            <w:pPr>
              <w:snapToGrid w:val="0"/>
              <w:spacing w:line="400" w:lineRule="exact"/>
              <w:contextualSpacing/>
            </w:pPr>
            <w:r>
              <w:rPr>
                <w:rFonts w:hint="eastAsia"/>
              </w:rPr>
              <w:t>社会出资</w:t>
            </w:r>
          </w:p>
        </w:tc>
        <w:tc>
          <w:tcPr>
            <w:tcW w:w="5822" w:type="dxa"/>
            <w:vAlign w:val="center"/>
          </w:tcPr>
          <w:p w14:paraId="60D8663F">
            <w:pPr>
              <w:snapToGrid w:val="0"/>
              <w:spacing w:line="400" w:lineRule="exact"/>
              <w:contextualSpacing/>
            </w:pPr>
            <w:r>
              <w:rPr>
                <w:rFonts w:hint="eastAsia"/>
              </w:rPr>
              <w:t>子基金管理机构应向《私募投资基金监督管理暂行办法》等所规定的合格投资者募集资金。以合伙企业、契约等非法人形式，通过汇集投资者的资金直接或者间接投资于子基金的，子基金管理机构应当穿透核查最终投资者是否为合格投资者，并合并计算投资者人数。子基金管理机构应当勤勉尽责，核实各出资人是否符合国家相关法律法规及政策措施规定的合格投资者要求；天使母基金申报方案由子基金申请机构负责提交。申请新设子基金的，子基金申请机构在提交基金申报方案时，须至少已经募集到拟设立子基金总规模的</w:t>
            </w:r>
            <w:r>
              <w:t>30%资金（不含天使母基金出资部分），并提供拟出资人的出资承诺函、出资能力证明等材料（</w:t>
            </w:r>
            <w:r>
              <w:rPr>
                <w:rFonts w:hint="eastAsia"/>
              </w:rPr>
              <w:t>拟出资人为政府引导基金除外，但应提供同等效力的证明材料）。</w:t>
            </w:r>
          </w:p>
        </w:tc>
        <w:tc>
          <w:tcPr>
            <w:tcW w:w="1276" w:type="dxa"/>
            <w:vAlign w:val="center"/>
          </w:tcPr>
          <w:p w14:paraId="68D7786B">
            <w:pPr>
              <w:keepNext/>
              <w:keepLines/>
              <w:snapToGrid w:val="0"/>
              <w:spacing w:before="260" w:after="260" w:line="400" w:lineRule="exact"/>
              <w:contextualSpacing/>
              <w:rPr>
                <w:rFonts w:hint="eastAsia" w:ascii="宋体" w:hAnsi="宋体"/>
                <w:szCs w:val="21"/>
              </w:rPr>
            </w:pPr>
          </w:p>
        </w:tc>
        <w:tc>
          <w:tcPr>
            <w:tcW w:w="1502" w:type="dxa"/>
            <w:vAlign w:val="center"/>
          </w:tcPr>
          <w:p w14:paraId="2D33928A">
            <w:pPr>
              <w:keepNext/>
              <w:keepLines/>
              <w:snapToGrid w:val="0"/>
              <w:spacing w:before="260" w:after="260" w:line="400" w:lineRule="exact"/>
              <w:contextualSpacing/>
              <w:rPr>
                <w:rFonts w:hint="eastAsia" w:ascii="宋体" w:hAnsi="宋体"/>
                <w:szCs w:val="21"/>
              </w:rPr>
            </w:pPr>
          </w:p>
        </w:tc>
      </w:tr>
      <w:tr w14:paraId="6531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7CE44535">
            <w:pPr>
              <w:snapToGrid w:val="0"/>
              <w:spacing w:line="400" w:lineRule="exact"/>
              <w:contextualSpacing/>
            </w:pPr>
            <w:r>
              <w:rPr>
                <w:rFonts w:hint="eastAsia"/>
              </w:rPr>
              <w:t>接续投资</w:t>
            </w:r>
          </w:p>
        </w:tc>
        <w:tc>
          <w:tcPr>
            <w:tcW w:w="5822" w:type="dxa"/>
            <w:vAlign w:val="center"/>
          </w:tcPr>
          <w:p w14:paraId="5C3FFE09">
            <w:pPr>
              <w:snapToGrid w:val="0"/>
              <w:spacing w:line="400" w:lineRule="exact"/>
              <w:contextualSpacing/>
            </w:pPr>
            <w:r>
              <w:rPr>
                <w:rFonts w:hint="eastAsia"/>
              </w:rPr>
              <w:t>鼓励子基金投向种子库项目或种子子基金已投项目，该金额占比不低于子基金已投项目总金额的10%。为有效推进“20+8”产业集群接续投资，子基金可在项目投资协议中设置“20+8”产业基金在该项目后续轮次融资中拥有同等条件下的优先投资权。</w:t>
            </w:r>
          </w:p>
        </w:tc>
        <w:tc>
          <w:tcPr>
            <w:tcW w:w="1276" w:type="dxa"/>
            <w:vAlign w:val="center"/>
          </w:tcPr>
          <w:p w14:paraId="1E017BCF">
            <w:pPr>
              <w:keepNext/>
              <w:keepLines/>
              <w:snapToGrid w:val="0"/>
              <w:spacing w:before="260" w:after="260" w:line="400" w:lineRule="exact"/>
              <w:contextualSpacing/>
              <w:rPr>
                <w:rFonts w:hint="eastAsia" w:ascii="宋体" w:hAnsi="宋体"/>
                <w:szCs w:val="21"/>
              </w:rPr>
            </w:pPr>
          </w:p>
        </w:tc>
        <w:tc>
          <w:tcPr>
            <w:tcW w:w="1502" w:type="dxa"/>
            <w:vAlign w:val="center"/>
          </w:tcPr>
          <w:p w14:paraId="39F77430">
            <w:pPr>
              <w:keepNext/>
              <w:keepLines/>
              <w:snapToGrid w:val="0"/>
              <w:spacing w:before="260" w:after="260" w:line="400" w:lineRule="exact"/>
              <w:contextualSpacing/>
              <w:rPr>
                <w:rFonts w:hint="eastAsia" w:ascii="宋体" w:hAnsi="宋体"/>
                <w:szCs w:val="21"/>
              </w:rPr>
            </w:pPr>
          </w:p>
        </w:tc>
      </w:tr>
      <w:tr w14:paraId="34DA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4" w:type="dxa"/>
            <w:gridSpan w:val="4"/>
            <w:vAlign w:val="center"/>
          </w:tcPr>
          <w:p w14:paraId="6C19CD00">
            <w:pPr>
              <w:snapToGrid w:val="0"/>
              <w:spacing w:line="400" w:lineRule="exact"/>
              <w:contextualSpacing/>
              <w:rPr>
                <w:rFonts w:hint="eastAsia" w:ascii="宋体" w:hAnsi="宋体"/>
                <w:szCs w:val="21"/>
              </w:rPr>
            </w:pPr>
            <w:r>
              <w:rPr>
                <w:rFonts w:ascii="宋体" w:hAnsi="宋体"/>
                <w:szCs w:val="21"/>
              </w:rPr>
              <w:t>二</w:t>
            </w:r>
            <w:r>
              <w:rPr>
                <w:rFonts w:hint="eastAsia" w:ascii="宋体" w:hAnsi="宋体"/>
                <w:szCs w:val="21"/>
              </w:rPr>
              <w:t>、</w:t>
            </w:r>
            <w:r>
              <w:rPr>
                <w:rFonts w:ascii="宋体" w:hAnsi="宋体"/>
                <w:szCs w:val="21"/>
              </w:rPr>
              <w:t>子基金管理机构应符合以下条件</w:t>
            </w:r>
            <w:r>
              <w:rPr>
                <w:rFonts w:hint="eastAsia" w:ascii="宋体" w:hAnsi="宋体"/>
                <w:szCs w:val="21"/>
              </w:rPr>
              <w:t>：</w:t>
            </w:r>
          </w:p>
        </w:tc>
      </w:tr>
      <w:tr w14:paraId="4EE1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154" w:type="dxa"/>
            <w:vMerge w:val="restart"/>
            <w:vAlign w:val="center"/>
          </w:tcPr>
          <w:p w14:paraId="3B463EC6">
            <w:pPr>
              <w:snapToGrid w:val="0"/>
              <w:spacing w:line="400" w:lineRule="exact"/>
              <w:contextualSpacing/>
            </w:pPr>
            <w:r>
              <w:rPr>
                <w:rFonts w:hint="eastAsia"/>
              </w:rPr>
              <w:t>运营资质</w:t>
            </w:r>
          </w:p>
        </w:tc>
        <w:tc>
          <w:tcPr>
            <w:tcW w:w="5822" w:type="dxa"/>
            <w:vAlign w:val="center"/>
          </w:tcPr>
          <w:p w14:paraId="232EA570">
            <w:pPr>
              <w:snapToGrid w:val="0"/>
              <w:spacing w:line="400" w:lineRule="exact"/>
              <w:contextualSpacing/>
            </w:pPr>
            <w:r>
              <w:rPr>
                <w:rFonts w:hint="eastAsia"/>
              </w:rPr>
              <w:t>依法设立，有固定营业场所，以及与其业务相适应的软硬件设施。</w:t>
            </w:r>
          </w:p>
        </w:tc>
        <w:tc>
          <w:tcPr>
            <w:tcW w:w="1276" w:type="dxa"/>
            <w:vAlign w:val="center"/>
          </w:tcPr>
          <w:p w14:paraId="726F68EA">
            <w:pPr>
              <w:keepNext/>
              <w:keepLines/>
              <w:snapToGrid w:val="0"/>
              <w:spacing w:before="260" w:after="260" w:line="400" w:lineRule="exact"/>
              <w:contextualSpacing/>
              <w:rPr>
                <w:szCs w:val="21"/>
              </w:rPr>
            </w:pPr>
          </w:p>
        </w:tc>
        <w:tc>
          <w:tcPr>
            <w:tcW w:w="1502" w:type="dxa"/>
            <w:vAlign w:val="center"/>
          </w:tcPr>
          <w:p w14:paraId="3718D64A">
            <w:pPr>
              <w:keepNext/>
              <w:keepLines/>
              <w:snapToGrid w:val="0"/>
              <w:spacing w:before="260" w:after="260" w:line="400" w:lineRule="exact"/>
              <w:contextualSpacing/>
              <w:rPr>
                <w:szCs w:val="21"/>
              </w:rPr>
            </w:pPr>
          </w:p>
        </w:tc>
      </w:tr>
      <w:tr w14:paraId="33AA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Merge w:val="continue"/>
            <w:vAlign w:val="center"/>
          </w:tcPr>
          <w:p w14:paraId="5B9E50FC">
            <w:pPr>
              <w:snapToGrid w:val="0"/>
              <w:spacing w:line="400" w:lineRule="exact"/>
              <w:contextualSpacing/>
            </w:pPr>
          </w:p>
        </w:tc>
        <w:tc>
          <w:tcPr>
            <w:tcW w:w="5822" w:type="dxa"/>
            <w:vAlign w:val="center"/>
          </w:tcPr>
          <w:p w14:paraId="6395AD02">
            <w:pPr>
              <w:snapToGrid w:val="0"/>
              <w:spacing w:line="400" w:lineRule="exact"/>
              <w:contextualSpacing/>
            </w:pPr>
            <w:r>
              <w:rPr>
                <w:rFonts w:hint="eastAsia"/>
              </w:rPr>
              <w:t>子基金管理机构须由申请机构或关联方担任，在与天使母基金正式签订合伙协议（或公司章程）前，实缴出资不低于</w:t>
            </w:r>
            <w:r>
              <w:t>1000</w:t>
            </w:r>
            <w:r>
              <w:rPr>
                <w:rFonts w:hint="eastAsia"/>
              </w:rPr>
              <w:t>万元人民币，并须在天使母基金对子基金投资决策前取得私募股权投资基金管理人相关登记备案资质。</w:t>
            </w:r>
          </w:p>
        </w:tc>
        <w:tc>
          <w:tcPr>
            <w:tcW w:w="1276" w:type="dxa"/>
            <w:vAlign w:val="center"/>
          </w:tcPr>
          <w:p w14:paraId="001B214A">
            <w:pPr>
              <w:snapToGrid w:val="0"/>
              <w:spacing w:line="400" w:lineRule="exact"/>
              <w:contextualSpacing/>
              <w:rPr>
                <w:szCs w:val="21"/>
              </w:rPr>
            </w:pPr>
          </w:p>
        </w:tc>
        <w:tc>
          <w:tcPr>
            <w:tcW w:w="1502" w:type="dxa"/>
            <w:vAlign w:val="center"/>
          </w:tcPr>
          <w:p w14:paraId="2BD8B527">
            <w:pPr>
              <w:snapToGrid w:val="0"/>
              <w:spacing w:line="400" w:lineRule="exact"/>
              <w:contextualSpacing/>
              <w:rPr>
                <w:szCs w:val="21"/>
              </w:rPr>
            </w:pPr>
          </w:p>
        </w:tc>
      </w:tr>
      <w:tr w14:paraId="1CB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Merge w:val="restart"/>
            <w:vAlign w:val="center"/>
          </w:tcPr>
          <w:p w14:paraId="2B058B11">
            <w:pPr>
              <w:snapToGrid w:val="0"/>
              <w:spacing w:line="400" w:lineRule="exact"/>
              <w:contextualSpacing/>
            </w:pPr>
            <w:r>
              <w:rPr>
                <w:rFonts w:hint="eastAsia"/>
              </w:rPr>
              <w:t>管理团队</w:t>
            </w:r>
          </w:p>
        </w:tc>
        <w:tc>
          <w:tcPr>
            <w:tcW w:w="5822" w:type="dxa"/>
            <w:vAlign w:val="center"/>
          </w:tcPr>
          <w:p w14:paraId="0EB4C64C">
            <w:pPr>
              <w:snapToGrid w:val="0"/>
              <w:spacing w:line="400" w:lineRule="exact"/>
              <w:contextualSpacing/>
              <w:rPr>
                <w:rFonts w:hint="eastAsia" w:ascii="宋体" w:hAnsi="宋体"/>
                <w:szCs w:val="21"/>
              </w:rPr>
            </w:pPr>
            <w:r>
              <w:rPr>
                <w:rFonts w:hint="eastAsia" w:ascii="宋体" w:hAnsi="宋体"/>
                <w:szCs w:val="21"/>
              </w:rPr>
              <w:t>子基金管理机构须在深圳设置固定的办公场所并配备专属且稳定的管理团队，至少</w:t>
            </w:r>
            <w:r>
              <w:rPr>
                <w:rFonts w:hint="eastAsia" w:ascii="宋体" w:hAnsi="宋体" w:cs="宋体"/>
                <w:szCs w:val="21"/>
              </w:rPr>
              <w:t>有</w:t>
            </w:r>
            <w:r>
              <w:rPr>
                <w:rFonts w:ascii="宋体" w:hAnsi="宋体" w:cs="宋体"/>
                <w:szCs w:val="21"/>
              </w:rPr>
              <w:t>3名具备3年以上</w:t>
            </w:r>
            <w:r>
              <w:rPr>
                <w:rFonts w:ascii="宋体" w:hAnsi="宋体"/>
                <w:szCs w:val="21"/>
              </w:rPr>
              <w:t>早期项目</w:t>
            </w:r>
            <w:r>
              <w:rPr>
                <w:rFonts w:hint="eastAsia" w:ascii="宋体" w:hAnsi="宋体" w:cs="宋体"/>
                <w:szCs w:val="21"/>
              </w:rPr>
              <w:t>投资经验或相关行业经验的高级管理人员，</w:t>
            </w:r>
            <w:r>
              <w:rPr>
                <w:rFonts w:hint="eastAsia" w:ascii="宋体" w:hAnsi="宋体"/>
                <w:szCs w:val="21"/>
              </w:rPr>
              <w:t>至少</w:t>
            </w:r>
            <w:r>
              <w:rPr>
                <w:rFonts w:ascii="宋体" w:hAnsi="宋体"/>
                <w:szCs w:val="21"/>
              </w:rPr>
              <w:t>1名核心人员常驻深圳办公或在深圳缴纳社保</w:t>
            </w:r>
            <w:r>
              <w:rPr>
                <w:rFonts w:hint="eastAsia" w:ascii="宋体" w:hAnsi="宋体"/>
                <w:szCs w:val="21"/>
              </w:rPr>
              <w:t>；管理团队主要成员未有受过行政主管机关或司法机关处罚的影响基金正常运营的不良记录。</w:t>
            </w:r>
          </w:p>
        </w:tc>
        <w:tc>
          <w:tcPr>
            <w:tcW w:w="1276" w:type="dxa"/>
            <w:vAlign w:val="center"/>
          </w:tcPr>
          <w:p w14:paraId="48281126">
            <w:pPr>
              <w:snapToGrid w:val="0"/>
              <w:spacing w:line="400" w:lineRule="exact"/>
              <w:contextualSpacing/>
              <w:rPr>
                <w:szCs w:val="21"/>
              </w:rPr>
            </w:pPr>
          </w:p>
        </w:tc>
        <w:tc>
          <w:tcPr>
            <w:tcW w:w="1502" w:type="dxa"/>
            <w:vAlign w:val="center"/>
          </w:tcPr>
          <w:p w14:paraId="4426B9D8">
            <w:pPr>
              <w:snapToGrid w:val="0"/>
              <w:spacing w:line="400" w:lineRule="exact"/>
              <w:contextualSpacing/>
              <w:rPr>
                <w:szCs w:val="21"/>
              </w:rPr>
            </w:pPr>
          </w:p>
        </w:tc>
      </w:tr>
      <w:tr w14:paraId="64A6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Merge w:val="continue"/>
            <w:vAlign w:val="center"/>
          </w:tcPr>
          <w:p w14:paraId="4F0EF5AD">
            <w:pPr>
              <w:snapToGrid w:val="0"/>
              <w:spacing w:line="400" w:lineRule="exact"/>
              <w:contextualSpacing/>
            </w:pPr>
          </w:p>
        </w:tc>
        <w:tc>
          <w:tcPr>
            <w:tcW w:w="5822" w:type="dxa"/>
            <w:vAlign w:val="center"/>
          </w:tcPr>
          <w:p w14:paraId="0BF3C212">
            <w:pPr>
              <w:snapToGrid w:val="0"/>
              <w:spacing w:line="400" w:lineRule="exact"/>
              <w:contextualSpacing/>
            </w:pPr>
            <w:r>
              <w:rPr>
                <w:rFonts w:hint="eastAsia"/>
              </w:rPr>
              <w:t>管理团队指定关键人，子基金合伙协议（或公司章程）须对子基金投委会委员和管理团队的核心人员进行锁定，被锁定人员如发生人员变动须经合伙人大会或股东（大）会等子基金相关权力机构表决通过。在子基金完成</w:t>
            </w:r>
            <w:r>
              <w:t>70%</w:t>
            </w:r>
            <w:r>
              <w:rPr>
                <w:rFonts w:hint="eastAsia"/>
              </w:rPr>
              <w:t>的投资进度之前，被锁定人员不得作为其他天使基金的关键人参与投资相同领域及地域，子基金管理机构不得募集、管理相同投资领域及地域的其他天使基金。</w:t>
            </w:r>
          </w:p>
        </w:tc>
        <w:tc>
          <w:tcPr>
            <w:tcW w:w="1276" w:type="dxa"/>
            <w:vAlign w:val="center"/>
          </w:tcPr>
          <w:p w14:paraId="2168E650">
            <w:pPr>
              <w:snapToGrid w:val="0"/>
              <w:spacing w:line="400" w:lineRule="exact"/>
              <w:contextualSpacing/>
              <w:rPr>
                <w:szCs w:val="21"/>
              </w:rPr>
            </w:pPr>
          </w:p>
        </w:tc>
        <w:tc>
          <w:tcPr>
            <w:tcW w:w="1502" w:type="dxa"/>
            <w:vAlign w:val="center"/>
          </w:tcPr>
          <w:p w14:paraId="50584043">
            <w:pPr>
              <w:snapToGrid w:val="0"/>
              <w:spacing w:line="400" w:lineRule="exact"/>
              <w:contextualSpacing/>
              <w:rPr>
                <w:szCs w:val="21"/>
              </w:rPr>
            </w:pPr>
          </w:p>
        </w:tc>
      </w:tr>
      <w:tr w14:paraId="3BD0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Merge w:val="continue"/>
            <w:vAlign w:val="center"/>
          </w:tcPr>
          <w:p w14:paraId="54930CB6">
            <w:pPr>
              <w:snapToGrid w:val="0"/>
              <w:spacing w:line="400" w:lineRule="exact"/>
              <w:contextualSpacing/>
            </w:pPr>
          </w:p>
        </w:tc>
        <w:tc>
          <w:tcPr>
            <w:tcW w:w="5822" w:type="dxa"/>
            <w:vAlign w:val="center"/>
          </w:tcPr>
          <w:p w14:paraId="285B78F6">
            <w:pPr>
              <w:snapToGrid w:val="0"/>
              <w:spacing w:line="400" w:lineRule="exact"/>
              <w:contextualSpacing/>
            </w:pPr>
            <w:r>
              <w:rPr>
                <w:rFonts w:hint="eastAsia"/>
              </w:rPr>
              <w:t>管理团队主要成员无受过行政主管机关或司法机关处罚的不良记录。</w:t>
            </w:r>
          </w:p>
        </w:tc>
        <w:tc>
          <w:tcPr>
            <w:tcW w:w="1276" w:type="dxa"/>
            <w:vAlign w:val="center"/>
          </w:tcPr>
          <w:p w14:paraId="583C3CD9">
            <w:pPr>
              <w:keepNext/>
              <w:keepLines/>
              <w:snapToGrid w:val="0"/>
              <w:spacing w:before="260" w:after="260" w:line="400" w:lineRule="exact"/>
              <w:contextualSpacing/>
              <w:rPr>
                <w:szCs w:val="21"/>
              </w:rPr>
            </w:pPr>
          </w:p>
        </w:tc>
        <w:tc>
          <w:tcPr>
            <w:tcW w:w="1502" w:type="dxa"/>
            <w:vAlign w:val="center"/>
          </w:tcPr>
          <w:p w14:paraId="19F7359D">
            <w:pPr>
              <w:keepNext/>
              <w:keepLines/>
              <w:snapToGrid w:val="0"/>
              <w:spacing w:before="260" w:after="260" w:line="400" w:lineRule="exact"/>
              <w:contextualSpacing/>
              <w:rPr>
                <w:szCs w:val="21"/>
              </w:rPr>
            </w:pPr>
          </w:p>
        </w:tc>
      </w:tr>
      <w:tr w14:paraId="74D3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54" w:type="dxa"/>
            <w:vMerge w:val="continue"/>
            <w:vAlign w:val="center"/>
          </w:tcPr>
          <w:p w14:paraId="49E26DF5">
            <w:pPr>
              <w:keepNext/>
              <w:keepLines/>
              <w:snapToGrid w:val="0"/>
              <w:spacing w:before="260" w:after="260" w:line="400" w:lineRule="exact"/>
              <w:contextualSpacing/>
            </w:pPr>
          </w:p>
        </w:tc>
        <w:tc>
          <w:tcPr>
            <w:tcW w:w="5822" w:type="dxa"/>
            <w:vAlign w:val="center"/>
          </w:tcPr>
          <w:p w14:paraId="0EA12E91">
            <w:pPr>
              <w:snapToGrid w:val="0"/>
              <w:spacing w:line="400" w:lineRule="exact"/>
              <w:contextualSpacing/>
            </w:pPr>
            <w:r>
              <w:rPr>
                <w:rFonts w:hint="eastAsia"/>
              </w:rPr>
              <w:t>管理机构核心团队及高级管理人员无犯罪记录。</w:t>
            </w:r>
          </w:p>
        </w:tc>
        <w:tc>
          <w:tcPr>
            <w:tcW w:w="1276" w:type="dxa"/>
            <w:vAlign w:val="center"/>
          </w:tcPr>
          <w:p w14:paraId="58842CFE">
            <w:pPr>
              <w:keepNext/>
              <w:keepLines/>
              <w:snapToGrid w:val="0"/>
              <w:spacing w:before="260" w:after="260" w:line="400" w:lineRule="exact"/>
              <w:contextualSpacing/>
              <w:rPr>
                <w:szCs w:val="21"/>
              </w:rPr>
            </w:pPr>
          </w:p>
        </w:tc>
        <w:tc>
          <w:tcPr>
            <w:tcW w:w="1502" w:type="dxa"/>
            <w:vAlign w:val="center"/>
          </w:tcPr>
          <w:p w14:paraId="61BEEE94">
            <w:pPr>
              <w:keepNext/>
              <w:keepLines/>
              <w:snapToGrid w:val="0"/>
              <w:spacing w:before="260" w:after="260" w:line="400" w:lineRule="exact"/>
              <w:contextualSpacing/>
              <w:rPr>
                <w:szCs w:val="21"/>
              </w:rPr>
            </w:pPr>
          </w:p>
        </w:tc>
      </w:tr>
      <w:tr w14:paraId="4487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154" w:type="dxa"/>
            <w:vMerge w:val="continue"/>
            <w:vAlign w:val="center"/>
          </w:tcPr>
          <w:p w14:paraId="72526049">
            <w:pPr>
              <w:keepNext/>
              <w:keepLines/>
              <w:snapToGrid w:val="0"/>
              <w:spacing w:before="260" w:after="260" w:line="400" w:lineRule="exact"/>
              <w:contextualSpacing/>
            </w:pPr>
          </w:p>
        </w:tc>
        <w:tc>
          <w:tcPr>
            <w:tcW w:w="5822" w:type="dxa"/>
            <w:vAlign w:val="center"/>
          </w:tcPr>
          <w:p w14:paraId="5D44C93A">
            <w:pPr>
              <w:adjustRightInd w:val="0"/>
              <w:snapToGrid w:val="0"/>
              <w:spacing w:line="400" w:lineRule="exact"/>
              <w:contextualSpacing/>
            </w:pPr>
            <w:r>
              <w:rPr>
                <w:rFonts w:hint="eastAsia"/>
              </w:rPr>
              <w:t>管理团队在子基金管理机构中持股（如有）。</w:t>
            </w:r>
          </w:p>
        </w:tc>
        <w:tc>
          <w:tcPr>
            <w:tcW w:w="1276" w:type="dxa"/>
            <w:vAlign w:val="center"/>
          </w:tcPr>
          <w:p w14:paraId="32E8A7E3">
            <w:pPr>
              <w:keepNext/>
              <w:keepLines/>
              <w:adjustRightInd w:val="0"/>
              <w:snapToGrid w:val="0"/>
              <w:spacing w:before="260" w:after="260" w:line="400" w:lineRule="exact"/>
              <w:contextualSpacing/>
              <w:rPr>
                <w:szCs w:val="21"/>
              </w:rPr>
            </w:pPr>
          </w:p>
        </w:tc>
        <w:tc>
          <w:tcPr>
            <w:tcW w:w="1502" w:type="dxa"/>
            <w:vAlign w:val="center"/>
          </w:tcPr>
          <w:p w14:paraId="227D85EF">
            <w:pPr>
              <w:keepNext/>
              <w:keepLines/>
              <w:adjustRightInd w:val="0"/>
              <w:snapToGrid w:val="0"/>
              <w:spacing w:before="260" w:after="260" w:line="400" w:lineRule="exact"/>
              <w:contextualSpacing/>
              <w:rPr>
                <w:szCs w:val="21"/>
              </w:rPr>
            </w:pPr>
          </w:p>
        </w:tc>
      </w:tr>
      <w:tr w14:paraId="0FBF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2D95540A">
            <w:pPr>
              <w:snapToGrid w:val="0"/>
              <w:spacing w:line="400" w:lineRule="exact"/>
              <w:contextualSpacing/>
            </w:pPr>
            <w:r>
              <w:rPr>
                <w:rFonts w:hint="eastAsia"/>
              </w:rPr>
              <w:t>投资能力</w:t>
            </w:r>
          </w:p>
        </w:tc>
        <w:tc>
          <w:tcPr>
            <w:tcW w:w="5822" w:type="dxa"/>
            <w:vAlign w:val="center"/>
          </w:tcPr>
          <w:p w14:paraId="0EE962E6">
            <w:pPr>
              <w:snapToGrid w:val="0"/>
              <w:spacing w:line="400" w:lineRule="exact"/>
              <w:contextualSpacing/>
            </w:pPr>
            <w:r>
              <w:rPr>
                <w:rFonts w:hint="eastAsia"/>
              </w:rPr>
              <w:t>须至少满足下列条件之一：</w:t>
            </w:r>
          </w:p>
          <w:p w14:paraId="042B5EBC">
            <w:pPr>
              <w:numPr>
                <w:ilvl w:val="0"/>
                <w:numId w:val="2"/>
              </w:numPr>
              <w:snapToGrid w:val="0"/>
              <w:spacing w:line="400" w:lineRule="exact"/>
              <w:contextualSpacing/>
            </w:pPr>
            <w:r>
              <w:rPr>
                <w:rFonts w:hint="eastAsia"/>
              </w:rPr>
              <w:t>子基金管理机构的投资能力须满足以下要求：子基金管理机构或其主要股东（公司制）、普通合伙人（合伙制）累计管理的实缴基金规模不低于10亿元，且在前述所管理基金中，至少投出过1个独角兽项目或1个总市值超过10亿美元的上市公司或3个国家级专精特新“小巨人”项目。前述项目应为首两轮外部机构投资项目或投资时工商登记注册时间不超过5年；</w:t>
            </w:r>
          </w:p>
          <w:p w14:paraId="46CF79B9">
            <w:pPr>
              <w:numPr>
                <w:ilvl w:val="0"/>
                <w:numId w:val="2"/>
              </w:numPr>
              <w:snapToGrid w:val="0"/>
              <w:spacing w:line="400" w:lineRule="exact"/>
              <w:contextualSpacing/>
            </w:pPr>
            <w:r>
              <w:rPr>
                <w:rFonts w:hint="eastAsia"/>
              </w:rPr>
              <w:t>天使母基金过往已合作机构中投向与深圳市产业匹配度好、所投项目发育情况佳、政策目标落实情况优、投后管理配合度高的子基金管理机构，且天使母基金自上个合作子基金已经完全退出。</w:t>
            </w:r>
          </w:p>
        </w:tc>
        <w:tc>
          <w:tcPr>
            <w:tcW w:w="1276" w:type="dxa"/>
            <w:vAlign w:val="center"/>
          </w:tcPr>
          <w:p w14:paraId="70A18993">
            <w:pPr>
              <w:snapToGrid w:val="0"/>
              <w:spacing w:line="400" w:lineRule="exact"/>
              <w:contextualSpacing/>
              <w:rPr>
                <w:szCs w:val="21"/>
              </w:rPr>
            </w:pPr>
          </w:p>
        </w:tc>
        <w:tc>
          <w:tcPr>
            <w:tcW w:w="1502" w:type="dxa"/>
            <w:vAlign w:val="center"/>
          </w:tcPr>
          <w:p w14:paraId="0027BE5F">
            <w:pPr>
              <w:snapToGrid w:val="0"/>
              <w:spacing w:line="400" w:lineRule="exact"/>
              <w:contextualSpacing/>
              <w:rPr>
                <w:szCs w:val="21"/>
              </w:rPr>
            </w:pPr>
          </w:p>
        </w:tc>
      </w:tr>
      <w:tr w14:paraId="3975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Merge w:val="restart"/>
            <w:vAlign w:val="center"/>
          </w:tcPr>
          <w:p w14:paraId="2D87EA38">
            <w:pPr>
              <w:snapToGrid w:val="0"/>
              <w:spacing w:line="400" w:lineRule="exact"/>
              <w:contextualSpacing/>
            </w:pPr>
            <w:r>
              <w:rPr>
                <w:rFonts w:hint="eastAsia"/>
              </w:rPr>
              <w:t>管理机制</w:t>
            </w:r>
          </w:p>
        </w:tc>
        <w:tc>
          <w:tcPr>
            <w:tcW w:w="5822" w:type="dxa"/>
            <w:vAlign w:val="center"/>
          </w:tcPr>
          <w:p w14:paraId="5231445C">
            <w:pPr>
              <w:snapToGrid w:val="0"/>
              <w:spacing w:line="400" w:lineRule="exact"/>
              <w:contextualSpacing/>
            </w:pPr>
            <w:r>
              <w:rPr>
                <w:rFonts w:hint="eastAsia"/>
              </w:rPr>
              <w:t>管理和投资运作规范，具有完整的投资决策程序、全面的风险控制机制和健全的财务管理制度。</w:t>
            </w:r>
          </w:p>
        </w:tc>
        <w:tc>
          <w:tcPr>
            <w:tcW w:w="1276" w:type="dxa"/>
            <w:vAlign w:val="center"/>
          </w:tcPr>
          <w:p w14:paraId="47185D8E">
            <w:pPr>
              <w:snapToGrid w:val="0"/>
              <w:spacing w:line="400" w:lineRule="exact"/>
              <w:contextualSpacing/>
              <w:rPr>
                <w:szCs w:val="21"/>
              </w:rPr>
            </w:pPr>
          </w:p>
        </w:tc>
        <w:tc>
          <w:tcPr>
            <w:tcW w:w="1502" w:type="dxa"/>
            <w:vAlign w:val="center"/>
          </w:tcPr>
          <w:p w14:paraId="0CC9EC27">
            <w:pPr>
              <w:snapToGrid w:val="0"/>
              <w:spacing w:line="400" w:lineRule="exact"/>
              <w:contextualSpacing/>
              <w:rPr>
                <w:szCs w:val="21"/>
              </w:rPr>
            </w:pPr>
          </w:p>
        </w:tc>
      </w:tr>
      <w:tr w14:paraId="2F878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Merge w:val="continue"/>
            <w:vAlign w:val="center"/>
          </w:tcPr>
          <w:p w14:paraId="631698F0">
            <w:pPr>
              <w:snapToGrid w:val="0"/>
              <w:spacing w:line="400" w:lineRule="exact"/>
              <w:contextualSpacing/>
            </w:pPr>
          </w:p>
        </w:tc>
        <w:tc>
          <w:tcPr>
            <w:tcW w:w="5822" w:type="dxa"/>
            <w:vAlign w:val="center"/>
          </w:tcPr>
          <w:p w14:paraId="74F62C64">
            <w:pPr>
              <w:snapToGrid w:val="0"/>
              <w:spacing w:line="400" w:lineRule="exact"/>
              <w:contextualSpacing/>
            </w:pPr>
            <w:r>
              <w:rPr>
                <w:rFonts w:hint="eastAsia"/>
              </w:rPr>
              <w:t>子基金采取市场化机制运作，由子基金管理机构依据合伙协议（或公司章程）等相关约定进行投资、管理和退出。管理公司可向子基金派出代表，监督子基金的投资和运作，但不参与子基金的日常管理。子基金合伙协议（或公司章程）应约定管理公司代表天使母基金对子基金违反合伙协议（或公司章程）、本申报指南及遴选办法及国家相关规定的投资项目，享有否决权；经管理公司代表天使母基金行使否决权的项目，子基金不得投资</w:t>
            </w:r>
            <w:r>
              <w:rPr>
                <w:rFonts w:hint="eastAsia" w:ascii="仿宋_GB2312" w:eastAsia="仿宋_GB2312"/>
                <w:sz w:val="32"/>
                <w:szCs w:val="32"/>
              </w:rPr>
              <w:t>。</w:t>
            </w:r>
          </w:p>
        </w:tc>
        <w:tc>
          <w:tcPr>
            <w:tcW w:w="1276" w:type="dxa"/>
            <w:vAlign w:val="center"/>
          </w:tcPr>
          <w:p w14:paraId="2311E62D">
            <w:pPr>
              <w:snapToGrid w:val="0"/>
              <w:spacing w:line="400" w:lineRule="exact"/>
              <w:contextualSpacing/>
              <w:rPr>
                <w:szCs w:val="21"/>
              </w:rPr>
            </w:pPr>
          </w:p>
        </w:tc>
        <w:tc>
          <w:tcPr>
            <w:tcW w:w="1502" w:type="dxa"/>
            <w:vAlign w:val="center"/>
          </w:tcPr>
          <w:p w14:paraId="00B80AEB">
            <w:pPr>
              <w:snapToGrid w:val="0"/>
              <w:spacing w:line="400" w:lineRule="exact"/>
              <w:contextualSpacing/>
              <w:rPr>
                <w:szCs w:val="21"/>
              </w:rPr>
            </w:pPr>
          </w:p>
        </w:tc>
      </w:tr>
      <w:tr w14:paraId="63A9D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7C4D685C">
            <w:pPr>
              <w:snapToGrid w:val="0"/>
              <w:spacing w:line="400" w:lineRule="exact"/>
              <w:contextualSpacing/>
            </w:pPr>
            <w:r>
              <w:rPr>
                <w:rFonts w:hint="eastAsia"/>
              </w:rPr>
              <w:t>信息披露</w:t>
            </w:r>
          </w:p>
        </w:tc>
        <w:tc>
          <w:tcPr>
            <w:tcW w:w="5822" w:type="dxa"/>
            <w:vAlign w:val="center"/>
          </w:tcPr>
          <w:p w14:paraId="40A97C3C">
            <w:pPr>
              <w:snapToGrid w:val="0"/>
              <w:spacing w:line="400" w:lineRule="exact"/>
              <w:contextualSpacing/>
            </w:pPr>
            <w:r>
              <w:rPr>
                <w:rFonts w:hint="eastAsia"/>
              </w:rPr>
              <w:t>子基金管理机构应当建立子基金重大事项披露制度，子基金管理机构应当建立子基金重大事项披露制度。子基金须定期向管理公司提交子基金运营报告、经审计的子基金财务报告和银行托管报告等，管理公司视工作需要可委托专业机构对子基金进行审计。</w:t>
            </w:r>
          </w:p>
        </w:tc>
        <w:tc>
          <w:tcPr>
            <w:tcW w:w="1276" w:type="dxa"/>
            <w:vAlign w:val="center"/>
          </w:tcPr>
          <w:p w14:paraId="410FCDC2">
            <w:pPr>
              <w:snapToGrid w:val="0"/>
              <w:spacing w:line="400" w:lineRule="exact"/>
              <w:contextualSpacing/>
              <w:rPr>
                <w:szCs w:val="21"/>
              </w:rPr>
            </w:pPr>
          </w:p>
        </w:tc>
        <w:tc>
          <w:tcPr>
            <w:tcW w:w="1502" w:type="dxa"/>
            <w:vAlign w:val="center"/>
          </w:tcPr>
          <w:p w14:paraId="16555BA7">
            <w:pPr>
              <w:snapToGrid w:val="0"/>
              <w:spacing w:line="400" w:lineRule="exact"/>
              <w:contextualSpacing/>
              <w:rPr>
                <w:szCs w:val="21"/>
              </w:rPr>
            </w:pPr>
          </w:p>
        </w:tc>
      </w:tr>
      <w:tr w14:paraId="765D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Align w:val="center"/>
          </w:tcPr>
          <w:p w14:paraId="1E745AA5">
            <w:pPr>
              <w:snapToGrid w:val="0"/>
              <w:spacing w:line="400" w:lineRule="exact"/>
              <w:contextualSpacing/>
            </w:pPr>
            <w:r>
              <w:rPr>
                <w:rFonts w:hint="eastAsia"/>
              </w:rPr>
              <w:t>强制清算及退出权</w:t>
            </w:r>
          </w:p>
        </w:tc>
        <w:tc>
          <w:tcPr>
            <w:tcW w:w="5822" w:type="dxa"/>
            <w:vAlign w:val="center"/>
          </w:tcPr>
          <w:p w14:paraId="70C62C61">
            <w:pPr>
              <w:snapToGrid w:val="0"/>
              <w:spacing w:line="400" w:lineRule="exact"/>
              <w:contextualSpacing/>
              <w:rPr>
                <w:rFonts w:hint="eastAsia" w:ascii="宋体" w:hAnsi="宋体"/>
                <w:szCs w:val="21"/>
              </w:rPr>
            </w:pPr>
            <w:r>
              <w:rPr>
                <w:rFonts w:hint="eastAsia" w:ascii="宋体" w:hAnsi="宋体"/>
                <w:szCs w:val="21"/>
              </w:rPr>
              <w:t>接受天使母基金强制清算及退出权，并按照《深圳市天使投资引导基金申报指南</w:t>
            </w:r>
            <w:r>
              <w:rPr>
                <w:rFonts w:ascii="宋体" w:hAnsi="宋体"/>
                <w:szCs w:val="21"/>
              </w:rPr>
              <w:t>及</w:t>
            </w:r>
            <w:r>
              <w:rPr>
                <w:rFonts w:hint="eastAsia" w:ascii="宋体" w:hAnsi="宋体"/>
                <w:szCs w:val="21"/>
              </w:rPr>
              <w:t>遴选办法》的规定执行。</w:t>
            </w:r>
          </w:p>
        </w:tc>
        <w:tc>
          <w:tcPr>
            <w:tcW w:w="1276" w:type="dxa"/>
            <w:vAlign w:val="center"/>
          </w:tcPr>
          <w:p w14:paraId="7DA1672B">
            <w:pPr>
              <w:keepNext/>
              <w:keepLines/>
              <w:snapToGrid w:val="0"/>
              <w:spacing w:before="260" w:after="260" w:line="400" w:lineRule="exact"/>
              <w:contextualSpacing/>
              <w:rPr>
                <w:szCs w:val="21"/>
              </w:rPr>
            </w:pPr>
          </w:p>
        </w:tc>
        <w:tc>
          <w:tcPr>
            <w:tcW w:w="1502" w:type="dxa"/>
            <w:vAlign w:val="center"/>
          </w:tcPr>
          <w:p w14:paraId="33FFC60C">
            <w:pPr>
              <w:keepNext/>
              <w:keepLines/>
              <w:snapToGrid w:val="0"/>
              <w:spacing w:before="260" w:after="260" w:line="400" w:lineRule="exact"/>
              <w:contextualSpacing/>
              <w:rPr>
                <w:szCs w:val="21"/>
              </w:rPr>
            </w:pPr>
          </w:p>
        </w:tc>
      </w:tr>
      <w:tr w14:paraId="2841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4" w:type="dxa"/>
            <w:gridSpan w:val="4"/>
            <w:vAlign w:val="center"/>
          </w:tcPr>
          <w:p w14:paraId="7C92D6A6">
            <w:pPr>
              <w:keepNext/>
              <w:keepLines/>
              <w:snapToGrid w:val="0"/>
              <w:spacing w:before="260" w:after="260" w:line="400" w:lineRule="exact"/>
              <w:contextualSpacing/>
            </w:pPr>
            <w:r>
              <w:rPr>
                <w:rFonts w:hint="eastAsia"/>
              </w:rPr>
              <w:t>三、子基金投资限制</w:t>
            </w:r>
          </w:p>
        </w:tc>
      </w:tr>
      <w:tr w14:paraId="275D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154" w:type="dxa"/>
            <w:vMerge w:val="restart"/>
            <w:vAlign w:val="center"/>
          </w:tcPr>
          <w:p w14:paraId="7642CBCD">
            <w:pPr>
              <w:snapToGrid w:val="0"/>
              <w:spacing w:line="400" w:lineRule="exact"/>
              <w:contextualSpacing/>
            </w:pPr>
          </w:p>
        </w:tc>
        <w:tc>
          <w:tcPr>
            <w:tcW w:w="5822" w:type="dxa"/>
            <w:vAlign w:val="center"/>
          </w:tcPr>
          <w:p w14:paraId="7B916FCE">
            <w:pPr>
              <w:snapToGrid w:val="0"/>
              <w:spacing w:line="400" w:lineRule="exact"/>
              <w:contextualSpacing/>
            </w:pPr>
            <w:r>
              <w:rPr>
                <w:rFonts w:hint="eastAsia"/>
              </w:rPr>
              <w:t>从事融资担保以外的担保、抵押、委托贷款等业务。</w:t>
            </w:r>
          </w:p>
        </w:tc>
        <w:tc>
          <w:tcPr>
            <w:tcW w:w="1276" w:type="dxa"/>
            <w:vMerge w:val="restart"/>
            <w:vAlign w:val="center"/>
          </w:tcPr>
          <w:p w14:paraId="157B2740">
            <w:pPr>
              <w:keepNext/>
              <w:keepLines/>
              <w:snapToGrid w:val="0"/>
              <w:spacing w:before="260" w:after="260" w:line="400" w:lineRule="exact"/>
              <w:contextualSpacing/>
            </w:pPr>
          </w:p>
        </w:tc>
        <w:tc>
          <w:tcPr>
            <w:tcW w:w="1502" w:type="dxa"/>
            <w:vMerge w:val="restart"/>
            <w:vAlign w:val="center"/>
          </w:tcPr>
          <w:p w14:paraId="309D8E01">
            <w:pPr>
              <w:keepNext/>
              <w:keepLines/>
              <w:snapToGrid w:val="0"/>
              <w:spacing w:before="260" w:after="260" w:line="400" w:lineRule="exact"/>
              <w:contextualSpacing/>
            </w:pPr>
          </w:p>
        </w:tc>
      </w:tr>
      <w:tr w14:paraId="02BF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54" w:type="dxa"/>
            <w:vMerge w:val="continue"/>
            <w:vAlign w:val="center"/>
          </w:tcPr>
          <w:p w14:paraId="4A44527D">
            <w:pPr>
              <w:snapToGrid w:val="0"/>
              <w:spacing w:line="400" w:lineRule="exact"/>
              <w:contextualSpacing/>
              <w:jc w:val="center"/>
            </w:pPr>
          </w:p>
        </w:tc>
        <w:tc>
          <w:tcPr>
            <w:tcW w:w="5822" w:type="dxa"/>
            <w:vAlign w:val="center"/>
          </w:tcPr>
          <w:p w14:paraId="3A1D59EE">
            <w:pPr>
              <w:snapToGrid w:val="0"/>
              <w:spacing w:line="400" w:lineRule="exact"/>
              <w:contextualSpacing/>
            </w:pPr>
            <w:r>
              <w:rPr>
                <w:rFonts w:hint="eastAsia"/>
              </w:rPr>
              <w:t>投资二级市场股票、股票、证券投资基金、评级</w:t>
            </w:r>
            <w:r>
              <w:t>AAA</w:t>
            </w:r>
            <w:r>
              <w:rPr>
                <w:rFonts w:hint="eastAsia"/>
              </w:rPr>
              <w:t>以下的企业债、信托产品、非保本型理财产品、保险计划及其他金融衍生品。</w:t>
            </w:r>
          </w:p>
        </w:tc>
        <w:tc>
          <w:tcPr>
            <w:tcW w:w="1276" w:type="dxa"/>
            <w:vMerge w:val="continue"/>
            <w:vAlign w:val="center"/>
          </w:tcPr>
          <w:p w14:paraId="130FD51B">
            <w:pPr>
              <w:keepNext/>
              <w:keepLines/>
              <w:snapToGrid w:val="0"/>
              <w:spacing w:before="260" w:after="260" w:line="400" w:lineRule="exact"/>
              <w:contextualSpacing/>
            </w:pPr>
          </w:p>
        </w:tc>
        <w:tc>
          <w:tcPr>
            <w:tcW w:w="1502" w:type="dxa"/>
            <w:vMerge w:val="continue"/>
            <w:vAlign w:val="center"/>
          </w:tcPr>
          <w:p w14:paraId="616F37E3">
            <w:pPr>
              <w:keepNext/>
              <w:keepLines/>
              <w:snapToGrid w:val="0"/>
              <w:spacing w:before="260" w:after="260" w:line="400" w:lineRule="exact"/>
              <w:contextualSpacing/>
            </w:pPr>
          </w:p>
        </w:tc>
      </w:tr>
      <w:tr w14:paraId="1CCEE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54" w:type="dxa"/>
            <w:vMerge w:val="restart"/>
            <w:vAlign w:val="center"/>
          </w:tcPr>
          <w:p w14:paraId="150616C1">
            <w:pPr>
              <w:keepNext/>
              <w:keepLines/>
              <w:snapToGrid w:val="0"/>
              <w:spacing w:before="260" w:after="260" w:line="400" w:lineRule="exact"/>
              <w:contextualSpacing/>
            </w:pPr>
            <w:r>
              <w:rPr>
                <w:rFonts w:hint="eastAsia"/>
              </w:rPr>
              <w:t>子基金不得从事业务</w:t>
            </w:r>
          </w:p>
        </w:tc>
        <w:tc>
          <w:tcPr>
            <w:tcW w:w="5822" w:type="dxa"/>
            <w:vAlign w:val="center"/>
          </w:tcPr>
          <w:p w14:paraId="25A394E7">
            <w:pPr>
              <w:snapToGrid w:val="0"/>
              <w:spacing w:line="400" w:lineRule="exact"/>
              <w:contextualSpacing/>
            </w:pPr>
            <w:r>
              <w:rPr>
                <w:rFonts w:hint="eastAsia"/>
              </w:rPr>
              <w:t>向任何第三方提供赞助、捐赠（经批准的公益性捐赠除外）。</w:t>
            </w:r>
          </w:p>
        </w:tc>
        <w:tc>
          <w:tcPr>
            <w:tcW w:w="1276" w:type="dxa"/>
            <w:vAlign w:val="center"/>
          </w:tcPr>
          <w:p w14:paraId="0F942189">
            <w:pPr>
              <w:keepNext/>
              <w:keepLines/>
              <w:snapToGrid w:val="0"/>
              <w:spacing w:before="260" w:after="260" w:line="400" w:lineRule="exact"/>
              <w:contextualSpacing/>
            </w:pPr>
          </w:p>
        </w:tc>
        <w:tc>
          <w:tcPr>
            <w:tcW w:w="1502" w:type="dxa"/>
            <w:vAlign w:val="center"/>
          </w:tcPr>
          <w:p w14:paraId="40D7406A">
            <w:pPr>
              <w:keepNext/>
              <w:keepLines/>
              <w:snapToGrid w:val="0"/>
              <w:spacing w:before="260" w:after="260" w:line="400" w:lineRule="exact"/>
              <w:contextualSpacing/>
            </w:pPr>
          </w:p>
        </w:tc>
      </w:tr>
      <w:tr w14:paraId="331B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154" w:type="dxa"/>
            <w:vMerge w:val="continue"/>
            <w:vAlign w:val="center"/>
          </w:tcPr>
          <w:p w14:paraId="49524F6C">
            <w:pPr>
              <w:keepNext/>
              <w:keepLines/>
              <w:snapToGrid w:val="0"/>
              <w:spacing w:before="260" w:after="260" w:line="400" w:lineRule="exact"/>
              <w:contextualSpacing/>
            </w:pPr>
          </w:p>
        </w:tc>
        <w:tc>
          <w:tcPr>
            <w:tcW w:w="5822" w:type="dxa"/>
            <w:vAlign w:val="center"/>
          </w:tcPr>
          <w:p w14:paraId="75BDB2EE">
            <w:pPr>
              <w:snapToGrid w:val="0"/>
              <w:spacing w:line="400" w:lineRule="exact"/>
              <w:contextualSpacing/>
            </w:pPr>
            <w:r>
              <w:rPr>
                <w:rFonts w:hint="eastAsia"/>
              </w:rPr>
              <w:t>吸收或变相吸收存款，或向第三方提供贷款和资金拆借（以股权投资为目的可转债除外，但不得从事明股实债）。</w:t>
            </w:r>
          </w:p>
        </w:tc>
        <w:tc>
          <w:tcPr>
            <w:tcW w:w="1276" w:type="dxa"/>
            <w:vAlign w:val="center"/>
          </w:tcPr>
          <w:p w14:paraId="0986465B">
            <w:pPr>
              <w:keepNext/>
              <w:keepLines/>
              <w:snapToGrid w:val="0"/>
              <w:spacing w:before="260" w:after="260" w:line="400" w:lineRule="exact"/>
              <w:contextualSpacing/>
            </w:pPr>
          </w:p>
        </w:tc>
        <w:tc>
          <w:tcPr>
            <w:tcW w:w="1502" w:type="dxa"/>
            <w:vAlign w:val="center"/>
          </w:tcPr>
          <w:p w14:paraId="7F45C821">
            <w:pPr>
              <w:keepNext/>
              <w:keepLines/>
              <w:snapToGrid w:val="0"/>
              <w:spacing w:before="260" w:after="260" w:line="400" w:lineRule="exact"/>
              <w:contextualSpacing/>
            </w:pPr>
          </w:p>
        </w:tc>
      </w:tr>
      <w:tr w14:paraId="31A5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54" w:type="dxa"/>
            <w:vMerge w:val="continue"/>
            <w:vAlign w:val="center"/>
          </w:tcPr>
          <w:p w14:paraId="421FDC58">
            <w:pPr>
              <w:keepNext/>
              <w:keepLines/>
              <w:snapToGrid w:val="0"/>
              <w:spacing w:before="260" w:after="260" w:line="400" w:lineRule="exact"/>
              <w:contextualSpacing/>
            </w:pPr>
          </w:p>
        </w:tc>
        <w:tc>
          <w:tcPr>
            <w:tcW w:w="5822" w:type="dxa"/>
            <w:vAlign w:val="center"/>
          </w:tcPr>
          <w:p w14:paraId="5B54E3C0">
            <w:pPr>
              <w:snapToGrid w:val="0"/>
              <w:spacing w:line="400" w:lineRule="exact"/>
              <w:contextualSpacing/>
            </w:pPr>
            <w:r>
              <w:rPr>
                <w:rFonts w:hint="eastAsia"/>
              </w:rPr>
              <w:t>进行承担无限连带责任的对外投资。</w:t>
            </w:r>
          </w:p>
        </w:tc>
        <w:tc>
          <w:tcPr>
            <w:tcW w:w="1276" w:type="dxa"/>
            <w:vMerge w:val="restart"/>
            <w:vAlign w:val="center"/>
          </w:tcPr>
          <w:p w14:paraId="62B21709">
            <w:pPr>
              <w:keepNext/>
              <w:keepLines/>
              <w:snapToGrid w:val="0"/>
              <w:spacing w:before="260" w:after="260" w:line="400" w:lineRule="exact"/>
              <w:contextualSpacing/>
            </w:pPr>
          </w:p>
        </w:tc>
        <w:tc>
          <w:tcPr>
            <w:tcW w:w="1502" w:type="dxa"/>
            <w:vMerge w:val="restart"/>
            <w:vAlign w:val="center"/>
          </w:tcPr>
          <w:p w14:paraId="652AAFC0">
            <w:pPr>
              <w:keepNext/>
              <w:keepLines/>
              <w:snapToGrid w:val="0"/>
              <w:spacing w:before="260" w:after="260" w:line="400" w:lineRule="exact"/>
              <w:contextualSpacing/>
            </w:pPr>
          </w:p>
        </w:tc>
      </w:tr>
      <w:tr w14:paraId="2462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54" w:type="dxa"/>
            <w:vMerge w:val="continue"/>
            <w:vAlign w:val="center"/>
          </w:tcPr>
          <w:p w14:paraId="2B8C85C4">
            <w:pPr>
              <w:keepNext/>
              <w:keepLines/>
              <w:snapToGrid w:val="0"/>
              <w:spacing w:before="260" w:after="260" w:line="400" w:lineRule="exact"/>
              <w:contextualSpacing/>
            </w:pPr>
          </w:p>
        </w:tc>
        <w:tc>
          <w:tcPr>
            <w:tcW w:w="5822" w:type="dxa"/>
            <w:vAlign w:val="center"/>
          </w:tcPr>
          <w:p w14:paraId="48F48D30">
            <w:pPr>
              <w:snapToGrid w:val="0"/>
              <w:spacing w:line="400" w:lineRule="exact"/>
              <w:contextualSpacing/>
            </w:pPr>
            <w:r>
              <w:rPr>
                <w:rFonts w:hint="eastAsia"/>
              </w:rPr>
              <w:t>发行信托或集合理财产品募集资金。</w:t>
            </w:r>
          </w:p>
        </w:tc>
        <w:tc>
          <w:tcPr>
            <w:tcW w:w="1276" w:type="dxa"/>
            <w:vMerge w:val="continue"/>
            <w:vAlign w:val="center"/>
          </w:tcPr>
          <w:p w14:paraId="68D9543C">
            <w:pPr>
              <w:keepNext/>
              <w:keepLines/>
              <w:snapToGrid w:val="0"/>
              <w:spacing w:before="260" w:after="260" w:line="400" w:lineRule="exact"/>
              <w:contextualSpacing/>
            </w:pPr>
          </w:p>
        </w:tc>
        <w:tc>
          <w:tcPr>
            <w:tcW w:w="1502" w:type="dxa"/>
            <w:vMerge w:val="continue"/>
            <w:vAlign w:val="center"/>
          </w:tcPr>
          <w:p w14:paraId="74816DEA">
            <w:pPr>
              <w:keepNext/>
              <w:keepLines/>
              <w:snapToGrid w:val="0"/>
              <w:spacing w:before="260" w:after="260" w:line="400" w:lineRule="exact"/>
              <w:contextualSpacing/>
            </w:pPr>
          </w:p>
        </w:tc>
      </w:tr>
      <w:tr w14:paraId="6030F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154" w:type="dxa"/>
            <w:vMerge w:val="continue"/>
            <w:vAlign w:val="center"/>
          </w:tcPr>
          <w:p w14:paraId="78C6C453">
            <w:pPr>
              <w:keepNext/>
              <w:keepLines/>
              <w:snapToGrid w:val="0"/>
              <w:spacing w:before="260" w:after="260" w:line="400" w:lineRule="exact"/>
              <w:contextualSpacing/>
            </w:pPr>
          </w:p>
        </w:tc>
        <w:tc>
          <w:tcPr>
            <w:tcW w:w="5822" w:type="dxa"/>
            <w:vAlign w:val="center"/>
          </w:tcPr>
          <w:p w14:paraId="7C668EFF">
            <w:pPr>
              <w:snapToGrid w:val="0"/>
              <w:spacing w:line="400" w:lineRule="exact"/>
              <w:contextualSpacing/>
            </w:pPr>
            <w:r>
              <w:rPr>
                <w:rFonts w:hint="eastAsia"/>
              </w:rPr>
              <w:t>其他国家法律法规禁止从事的业务。</w:t>
            </w:r>
          </w:p>
        </w:tc>
        <w:tc>
          <w:tcPr>
            <w:tcW w:w="1276" w:type="dxa"/>
            <w:vMerge w:val="continue"/>
            <w:vAlign w:val="center"/>
          </w:tcPr>
          <w:p w14:paraId="0588CDBE">
            <w:pPr>
              <w:keepNext/>
              <w:keepLines/>
              <w:snapToGrid w:val="0"/>
              <w:spacing w:before="260" w:after="260" w:line="400" w:lineRule="exact"/>
              <w:contextualSpacing/>
            </w:pPr>
          </w:p>
        </w:tc>
        <w:tc>
          <w:tcPr>
            <w:tcW w:w="1502" w:type="dxa"/>
            <w:vMerge w:val="continue"/>
            <w:vAlign w:val="center"/>
          </w:tcPr>
          <w:p w14:paraId="6C49A44C">
            <w:pPr>
              <w:keepNext/>
              <w:keepLines/>
              <w:snapToGrid w:val="0"/>
              <w:spacing w:before="260" w:after="260" w:line="400" w:lineRule="exact"/>
              <w:contextualSpacing/>
            </w:pPr>
          </w:p>
        </w:tc>
      </w:tr>
    </w:tbl>
    <w:p w14:paraId="50F06046">
      <w:pPr>
        <w:spacing w:line="560" w:lineRule="exact"/>
      </w:pPr>
      <w:r>
        <w:rPr>
          <w:rFonts w:hint="eastAsia"/>
        </w:rPr>
        <w:t>注：拟申请天使母基金参股的子基金应开展合规性自查，并在是否符合一栏填写“</w:t>
      </w:r>
      <w:r>
        <w:rPr>
          <w:rFonts w:hint="eastAsia" w:ascii="宋体" w:hAnsi="宋体"/>
        </w:rPr>
        <w:t>√</w:t>
      </w:r>
      <w:r>
        <w:rPr>
          <w:rFonts w:hint="eastAsia"/>
        </w:rPr>
        <w:t>”或“</w:t>
      </w:r>
      <w:r>
        <w:rPr>
          <w:rFonts w:hint="eastAsia" w:ascii="宋体" w:hAnsi="宋体"/>
        </w:rPr>
        <w:t>х</w:t>
      </w:r>
      <w:r>
        <w:rPr>
          <w:rFonts w:hint="eastAsia"/>
        </w:rPr>
        <w:t>”，需要进一步说明的事项请填写在备注栏。原则上，表中所列条件，子基金应全部符合或接受。</w:t>
      </w:r>
    </w:p>
    <w:p w14:paraId="0C8A4A14">
      <w:pPr>
        <w:spacing w:line="560" w:lineRule="exact"/>
        <w:rPr>
          <w:rFonts w:ascii="仿宋_GB2312" w:eastAsia="仿宋_GB2312"/>
          <w:sz w:val="32"/>
          <w:szCs w:val="32"/>
        </w:rPr>
      </w:pPr>
    </w:p>
    <w:p w14:paraId="30489E69">
      <w:pPr>
        <w:spacing w:line="560" w:lineRule="exact"/>
        <w:ind w:right="1280"/>
        <w:jc w:val="right"/>
        <w:rPr>
          <w:rFonts w:ascii="仿宋_GB2312" w:eastAsia="仿宋_GB2312"/>
          <w:sz w:val="32"/>
          <w:szCs w:val="32"/>
        </w:rPr>
      </w:pPr>
      <w:r>
        <w:rPr>
          <w:rFonts w:hint="eastAsia" w:ascii="仿宋_GB2312" w:eastAsia="仿宋_GB2312"/>
          <w:sz w:val="32"/>
          <w:szCs w:val="32"/>
        </w:rPr>
        <w:t>申请机构盖章：</w:t>
      </w:r>
    </w:p>
    <w:p w14:paraId="0AB8D868">
      <w:pPr>
        <w:widowControl/>
        <w:jc w:val="left"/>
        <w:rPr>
          <w:rFonts w:ascii="仿宋_GB2312" w:eastAsia="仿宋_GB2312" w:cs="仿宋_GB2312"/>
          <w:sz w:val="32"/>
          <w:szCs w:val="32"/>
        </w:rPr>
      </w:pPr>
      <w:bookmarkStart w:id="0" w:name="_GoBack"/>
      <w:bookmarkEnd w:id="0"/>
    </w:p>
    <w:sectPr>
      <w:footerReference r:id="rId3" w:type="default"/>
      <w:footerReference r:id="rId4" w:type="even"/>
      <w:pgSz w:w="11906" w:h="16838"/>
      <w:pgMar w:top="1588" w:right="1474" w:bottom="147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
    <w:altName w:val="Times New Roman"/>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87"/>
    </w:sdtPr>
    <w:sdtContent>
      <w:p w14:paraId="3B3BF442">
        <w:pPr>
          <w:pStyle w:val="5"/>
          <w:jc w:val="right"/>
        </w:pP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PAGE   \* MERGEFORMAT </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w:t>
        </w:r>
        <w:r>
          <w:rPr>
            <w:rFonts w:asciiTheme="majorEastAsia" w:hAnsiTheme="majorEastAsia" w:eastAsiaTheme="majorEastAsia"/>
            <w:sz w:val="24"/>
            <w:szCs w:val="24"/>
          </w:rPr>
          <w:t xml:space="preserve"> 27 -</w:t>
        </w:r>
        <w:r>
          <w:rPr>
            <w:rFonts w:asciiTheme="majorEastAsia" w:hAnsiTheme="majorEastAsia" w:eastAsiaTheme="majorEastAsia"/>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32492"/>
    </w:sdtPr>
    <w:sdtEndPr>
      <w:rPr>
        <w:rFonts w:ascii="宋体" w:hAnsi="宋体"/>
        <w:sz w:val="24"/>
        <w:szCs w:val="24"/>
      </w:rPr>
    </w:sdtEndPr>
    <w:sdtContent>
      <w:p w14:paraId="5D774F58">
        <w:pPr>
          <w:pStyle w:val="5"/>
        </w:pP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rPr>
            <w:rFonts w:ascii="宋体" w:hAnsi="宋体"/>
            <w:sz w:val="24"/>
            <w:szCs w:val="24"/>
          </w:rPr>
          <w:t>- 28 -</w:t>
        </w:r>
        <w:r>
          <w:rPr>
            <w:rFonts w:ascii="宋体" w:hAnsi="宋体"/>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9B480"/>
    <w:multiLevelType w:val="singleLevel"/>
    <w:tmpl w:val="5C59B480"/>
    <w:lvl w:ilvl="0" w:tentative="0">
      <w:start w:val="1"/>
      <w:numFmt w:val="decimal"/>
      <w:suff w:val="space"/>
      <w:lvlText w:val="%1."/>
      <w:lvlJc w:val="left"/>
    </w:lvl>
  </w:abstractNum>
  <w:abstractNum w:abstractNumId="1">
    <w:nsid w:val="6AD9D421"/>
    <w:multiLevelType w:val="multilevel"/>
    <w:tmpl w:val="6AD9D421"/>
    <w:lvl w:ilvl="0" w:tentative="0">
      <w:start w:val="1"/>
      <w:numFmt w:val="chineseCounting"/>
      <w:suff w:val="nothing"/>
      <w:lvlText w:val="第%1章 "/>
      <w:lvlJc w:val="left"/>
      <w:pPr>
        <w:tabs>
          <w:tab w:val="left" w:pos="0"/>
        </w:tabs>
        <w:ind w:left="0" w:firstLine="0"/>
      </w:pPr>
      <w:rPr>
        <w:rFonts w:hint="eastAsia" w:ascii="仿宋_GB2312" w:hAnsi="仿宋_GB2312" w:eastAsia="黑体" w:cs="黑体"/>
        <w:b/>
        <w:bCs/>
        <w:sz w:val="32"/>
        <w:szCs w:val="32"/>
      </w:rPr>
    </w:lvl>
    <w:lvl w:ilvl="1" w:tentative="0">
      <w:start w:val="1"/>
      <w:numFmt w:val="none"/>
      <w:suff w:val="nothing"/>
      <w:lvlText w:val=""/>
      <w:lvlJc w:val="left"/>
      <w:pPr>
        <w:tabs>
          <w:tab w:val="left" w:pos="0"/>
        </w:tabs>
        <w:ind w:left="0" w:firstLine="0"/>
      </w:pPr>
      <w:rPr>
        <w:rFonts w:hint="eastAsia" w:ascii="仿宋_GB2312" w:hAnsi="仿宋_GB2312" w:eastAsia="仿宋_GB2312" w:cs="方正楷体_GB2312"/>
        <w:b/>
        <w:bCs/>
        <w:sz w:val="32"/>
        <w:szCs w:val="32"/>
      </w:rPr>
    </w:lvl>
    <w:lvl w:ilvl="2" w:tentative="0">
      <w:start w:val="1"/>
      <w:numFmt w:val="none"/>
      <w:suff w:val="nothing"/>
      <w:lvlText w:val=""/>
      <w:lvlJc w:val="left"/>
      <w:pPr>
        <w:ind w:left="0" w:firstLine="0"/>
      </w:pPr>
      <w:rPr>
        <w:rFonts w:hint="eastAsia" w:ascii="仿宋_GB2312" w:hAnsi="仿宋_GB2312" w:eastAsia="仿宋_GB2312" w:cs="方正楷体_GB2312"/>
        <w:b w:val="0"/>
        <w:bCs w:val="0"/>
        <w:sz w:val="32"/>
        <w:szCs w:val="32"/>
      </w:rPr>
    </w:lvl>
    <w:lvl w:ilvl="3" w:tentative="0">
      <w:start w:val="1"/>
      <w:numFmt w:val="none"/>
      <w:pStyle w:val="2"/>
      <w:suff w:val="nothing"/>
      <w:lvlText w:val=""/>
      <w:lvlJc w:val="left"/>
      <w:pPr>
        <w:ind w:left="0" w:firstLine="0"/>
      </w:pPr>
      <w:rPr>
        <w:rFonts w:hint="eastAsia"/>
        <w:b w:val="0"/>
        <w:bCs w:val="0"/>
      </w:rPr>
    </w:lvl>
    <w:lvl w:ilvl="4" w:tentative="0">
      <w:start w:val="1"/>
      <w:numFmt w:val="none"/>
      <w:suff w:val="nothing"/>
      <w:lvlText w:val=""/>
      <w:lvlJc w:val="left"/>
      <w:pPr>
        <w:ind w:left="0" w:firstLine="0"/>
      </w:pPr>
      <w:rPr>
        <w:rFonts w:hint="eastAsia"/>
      </w:rPr>
    </w:lvl>
    <w:lvl w:ilvl="5" w:tentative="0">
      <w:start w:val="1"/>
      <w:numFmt w:val="none"/>
      <w:lvlRestart w:val="1"/>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E0D"/>
    <w:rsid w:val="00003CCE"/>
    <w:rsid w:val="000041D1"/>
    <w:rsid w:val="00010724"/>
    <w:rsid w:val="00013DC8"/>
    <w:rsid w:val="00015E0F"/>
    <w:rsid w:val="0001774D"/>
    <w:rsid w:val="000203EF"/>
    <w:rsid w:val="00023C8C"/>
    <w:rsid w:val="00024875"/>
    <w:rsid w:val="00027264"/>
    <w:rsid w:val="0002755B"/>
    <w:rsid w:val="000328C2"/>
    <w:rsid w:val="00033016"/>
    <w:rsid w:val="00035734"/>
    <w:rsid w:val="0003626A"/>
    <w:rsid w:val="0003648D"/>
    <w:rsid w:val="00043BBF"/>
    <w:rsid w:val="0004532C"/>
    <w:rsid w:val="00052F17"/>
    <w:rsid w:val="00055228"/>
    <w:rsid w:val="0005557E"/>
    <w:rsid w:val="0005629D"/>
    <w:rsid w:val="0005779B"/>
    <w:rsid w:val="000601FD"/>
    <w:rsid w:val="00065B9F"/>
    <w:rsid w:val="000665C7"/>
    <w:rsid w:val="000671B6"/>
    <w:rsid w:val="00077AAC"/>
    <w:rsid w:val="000818F0"/>
    <w:rsid w:val="00081A6A"/>
    <w:rsid w:val="00083E32"/>
    <w:rsid w:val="000845A8"/>
    <w:rsid w:val="00087177"/>
    <w:rsid w:val="000879FA"/>
    <w:rsid w:val="0009572C"/>
    <w:rsid w:val="00097B74"/>
    <w:rsid w:val="000A0E67"/>
    <w:rsid w:val="000A5F97"/>
    <w:rsid w:val="000A6408"/>
    <w:rsid w:val="000B5B9E"/>
    <w:rsid w:val="000C1702"/>
    <w:rsid w:val="000C173F"/>
    <w:rsid w:val="000C3B96"/>
    <w:rsid w:val="000C7129"/>
    <w:rsid w:val="000D04BE"/>
    <w:rsid w:val="000D262C"/>
    <w:rsid w:val="000D55B0"/>
    <w:rsid w:val="000E02E9"/>
    <w:rsid w:val="000E0AD2"/>
    <w:rsid w:val="000E0DA1"/>
    <w:rsid w:val="000E3213"/>
    <w:rsid w:val="000E494C"/>
    <w:rsid w:val="000F0BA9"/>
    <w:rsid w:val="000F1897"/>
    <w:rsid w:val="000F491E"/>
    <w:rsid w:val="000F73FC"/>
    <w:rsid w:val="0010067A"/>
    <w:rsid w:val="00100BA2"/>
    <w:rsid w:val="00103C20"/>
    <w:rsid w:val="001041D2"/>
    <w:rsid w:val="001049C9"/>
    <w:rsid w:val="00112939"/>
    <w:rsid w:val="00112F1B"/>
    <w:rsid w:val="001308B0"/>
    <w:rsid w:val="00142E8D"/>
    <w:rsid w:val="001431CA"/>
    <w:rsid w:val="00143849"/>
    <w:rsid w:val="00145F12"/>
    <w:rsid w:val="00147D09"/>
    <w:rsid w:val="00153C3B"/>
    <w:rsid w:val="00154E6F"/>
    <w:rsid w:val="001562FC"/>
    <w:rsid w:val="00160D86"/>
    <w:rsid w:val="0016353C"/>
    <w:rsid w:val="0016354E"/>
    <w:rsid w:val="00173F7D"/>
    <w:rsid w:val="00177B6D"/>
    <w:rsid w:val="00182879"/>
    <w:rsid w:val="00185BFA"/>
    <w:rsid w:val="001877D4"/>
    <w:rsid w:val="00192A80"/>
    <w:rsid w:val="0019553D"/>
    <w:rsid w:val="00195EDC"/>
    <w:rsid w:val="001A12CD"/>
    <w:rsid w:val="001A1C71"/>
    <w:rsid w:val="001A1CDA"/>
    <w:rsid w:val="001A2925"/>
    <w:rsid w:val="001A3098"/>
    <w:rsid w:val="001A4415"/>
    <w:rsid w:val="001A4FC8"/>
    <w:rsid w:val="001A5174"/>
    <w:rsid w:val="001A5CB7"/>
    <w:rsid w:val="001A61AC"/>
    <w:rsid w:val="001A6C2E"/>
    <w:rsid w:val="001B1E6C"/>
    <w:rsid w:val="001B329E"/>
    <w:rsid w:val="001B69D2"/>
    <w:rsid w:val="001B6E38"/>
    <w:rsid w:val="001C0E9D"/>
    <w:rsid w:val="001C238B"/>
    <w:rsid w:val="001C4468"/>
    <w:rsid w:val="001C4EA7"/>
    <w:rsid w:val="001C64E2"/>
    <w:rsid w:val="001C7EE5"/>
    <w:rsid w:val="001D4268"/>
    <w:rsid w:val="001D57B4"/>
    <w:rsid w:val="001D6242"/>
    <w:rsid w:val="001E2E08"/>
    <w:rsid w:val="001E53E6"/>
    <w:rsid w:val="001E5F30"/>
    <w:rsid w:val="001E7E6D"/>
    <w:rsid w:val="001F039E"/>
    <w:rsid w:val="001F14E3"/>
    <w:rsid w:val="0020370F"/>
    <w:rsid w:val="002046ED"/>
    <w:rsid w:val="002077B0"/>
    <w:rsid w:val="0020793D"/>
    <w:rsid w:val="00207E19"/>
    <w:rsid w:val="00210C5D"/>
    <w:rsid w:val="00217033"/>
    <w:rsid w:val="00223A3E"/>
    <w:rsid w:val="002256F4"/>
    <w:rsid w:val="00227572"/>
    <w:rsid w:val="002333D4"/>
    <w:rsid w:val="00233DD3"/>
    <w:rsid w:val="00234015"/>
    <w:rsid w:val="00234401"/>
    <w:rsid w:val="00246697"/>
    <w:rsid w:val="00247735"/>
    <w:rsid w:val="00247B14"/>
    <w:rsid w:val="00252626"/>
    <w:rsid w:val="0025735E"/>
    <w:rsid w:val="00260D03"/>
    <w:rsid w:val="00261EDC"/>
    <w:rsid w:val="00266913"/>
    <w:rsid w:val="00266B30"/>
    <w:rsid w:val="00270B56"/>
    <w:rsid w:val="00273E72"/>
    <w:rsid w:val="00281161"/>
    <w:rsid w:val="00281BCA"/>
    <w:rsid w:val="00281C9D"/>
    <w:rsid w:val="00282991"/>
    <w:rsid w:val="00282A33"/>
    <w:rsid w:val="002862B8"/>
    <w:rsid w:val="002879AC"/>
    <w:rsid w:val="0029005C"/>
    <w:rsid w:val="0029010A"/>
    <w:rsid w:val="002953A1"/>
    <w:rsid w:val="002A36F6"/>
    <w:rsid w:val="002A4E74"/>
    <w:rsid w:val="002A558A"/>
    <w:rsid w:val="002A604B"/>
    <w:rsid w:val="002B6F57"/>
    <w:rsid w:val="002C3F8B"/>
    <w:rsid w:val="002C4AED"/>
    <w:rsid w:val="002D0FD0"/>
    <w:rsid w:val="002E0455"/>
    <w:rsid w:val="002E37F5"/>
    <w:rsid w:val="002F114C"/>
    <w:rsid w:val="002F3218"/>
    <w:rsid w:val="002F3CF3"/>
    <w:rsid w:val="002F5A3A"/>
    <w:rsid w:val="003027E1"/>
    <w:rsid w:val="003069C7"/>
    <w:rsid w:val="00310DFE"/>
    <w:rsid w:val="00312035"/>
    <w:rsid w:val="00312AF2"/>
    <w:rsid w:val="003148A3"/>
    <w:rsid w:val="003150F6"/>
    <w:rsid w:val="00322155"/>
    <w:rsid w:val="00323A5D"/>
    <w:rsid w:val="0032572D"/>
    <w:rsid w:val="00326DEA"/>
    <w:rsid w:val="00327684"/>
    <w:rsid w:val="003276F8"/>
    <w:rsid w:val="00332AB1"/>
    <w:rsid w:val="0033325E"/>
    <w:rsid w:val="00337550"/>
    <w:rsid w:val="00337B49"/>
    <w:rsid w:val="00343D99"/>
    <w:rsid w:val="00345BA5"/>
    <w:rsid w:val="00345F64"/>
    <w:rsid w:val="00350355"/>
    <w:rsid w:val="0035402F"/>
    <w:rsid w:val="0036176F"/>
    <w:rsid w:val="003635BC"/>
    <w:rsid w:val="00363B3A"/>
    <w:rsid w:val="00363D41"/>
    <w:rsid w:val="003651F5"/>
    <w:rsid w:val="00366DDF"/>
    <w:rsid w:val="003735B4"/>
    <w:rsid w:val="003750AB"/>
    <w:rsid w:val="0037564B"/>
    <w:rsid w:val="00377A7E"/>
    <w:rsid w:val="00382DFC"/>
    <w:rsid w:val="003833E7"/>
    <w:rsid w:val="003961D2"/>
    <w:rsid w:val="003B4F4F"/>
    <w:rsid w:val="003C06AC"/>
    <w:rsid w:val="003C1071"/>
    <w:rsid w:val="003D0520"/>
    <w:rsid w:val="003D2C84"/>
    <w:rsid w:val="003E042B"/>
    <w:rsid w:val="003E204D"/>
    <w:rsid w:val="003E3D97"/>
    <w:rsid w:val="003E6078"/>
    <w:rsid w:val="003F50D8"/>
    <w:rsid w:val="003F54BB"/>
    <w:rsid w:val="003F5D26"/>
    <w:rsid w:val="00403575"/>
    <w:rsid w:val="00404D32"/>
    <w:rsid w:val="0040616B"/>
    <w:rsid w:val="004072FD"/>
    <w:rsid w:val="00407870"/>
    <w:rsid w:val="00410930"/>
    <w:rsid w:val="00413F1C"/>
    <w:rsid w:val="00421096"/>
    <w:rsid w:val="00421ADB"/>
    <w:rsid w:val="00426E16"/>
    <w:rsid w:val="00434084"/>
    <w:rsid w:val="00435A35"/>
    <w:rsid w:val="004415A2"/>
    <w:rsid w:val="00441809"/>
    <w:rsid w:val="00445602"/>
    <w:rsid w:val="00445F2E"/>
    <w:rsid w:val="00450417"/>
    <w:rsid w:val="00451D9C"/>
    <w:rsid w:val="004561DD"/>
    <w:rsid w:val="00460A08"/>
    <w:rsid w:val="004613E1"/>
    <w:rsid w:val="00475870"/>
    <w:rsid w:val="0047637D"/>
    <w:rsid w:val="004770BD"/>
    <w:rsid w:val="00481AD0"/>
    <w:rsid w:val="00482CA2"/>
    <w:rsid w:val="00483D5F"/>
    <w:rsid w:val="00484351"/>
    <w:rsid w:val="00487887"/>
    <w:rsid w:val="004906F4"/>
    <w:rsid w:val="00491921"/>
    <w:rsid w:val="00491A18"/>
    <w:rsid w:val="0049260D"/>
    <w:rsid w:val="004949A9"/>
    <w:rsid w:val="0049628D"/>
    <w:rsid w:val="004A02BE"/>
    <w:rsid w:val="004A0685"/>
    <w:rsid w:val="004A3F6F"/>
    <w:rsid w:val="004A5000"/>
    <w:rsid w:val="004A588D"/>
    <w:rsid w:val="004B1090"/>
    <w:rsid w:val="004B30CE"/>
    <w:rsid w:val="004C1067"/>
    <w:rsid w:val="004C1F4D"/>
    <w:rsid w:val="004C228E"/>
    <w:rsid w:val="004C5A95"/>
    <w:rsid w:val="004C7AA6"/>
    <w:rsid w:val="004D1329"/>
    <w:rsid w:val="004D651E"/>
    <w:rsid w:val="004E3189"/>
    <w:rsid w:val="004E354C"/>
    <w:rsid w:val="004E55B4"/>
    <w:rsid w:val="004F1B2F"/>
    <w:rsid w:val="004F2123"/>
    <w:rsid w:val="004F5AB0"/>
    <w:rsid w:val="004F71CF"/>
    <w:rsid w:val="004F7794"/>
    <w:rsid w:val="00500595"/>
    <w:rsid w:val="00504C3F"/>
    <w:rsid w:val="00505467"/>
    <w:rsid w:val="00513D8D"/>
    <w:rsid w:val="00514894"/>
    <w:rsid w:val="005172FF"/>
    <w:rsid w:val="00520FF1"/>
    <w:rsid w:val="005254A8"/>
    <w:rsid w:val="0052767B"/>
    <w:rsid w:val="0053354E"/>
    <w:rsid w:val="0053518A"/>
    <w:rsid w:val="00535432"/>
    <w:rsid w:val="00536096"/>
    <w:rsid w:val="00537BAA"/>
    <w:rsid w:val="00540948"/>
    <w:rsid w:val="005423E2"/>
    <w:rsid w:val="00542E24"/>
    <w:rsid w:val="00543E1F"/>
    <w:rsid w:val="00547CB8"/>
    <w:rsid w:val="0055058A"/>
    <w:rsid w:val="00554133"/>
    <w:rsid w:val="005551E3"/>
    <w:rsid w:val="005556A5"/>
    <w:rsid w:val="005558D1"/>
    <w:rsid w:val="00556536"/>
    <w:rsid w:val="00562BE0"/>
    <w:rsid w:val="005648D2"/>
    <w:rsid w:val="00565E0D"/>
    <w:rsid w:val="00573698"/>
    <w:rsid w:val="00577EA2"/>
    <w:rsid w:val="00581188"/>
    <w:rsid w:val="005838A5"/>
    <w:rsid w:val="005843CC"/>
    <w:rsid w:val="00584F5F"/>
    <w:rsid w:val="00591092"/>
    <w:rsid w:val="005931DE"/>
    <w:rsid w:val="00597ABD"/>
    <w:rsid w:val="005A129F"/>
    <w:rsid w:val="005B0644"/>
    <w:rsid w:val="005B2D2A"/>
    <w:rsid w:val="005B3EDE"/>
    <w:rsid w:val="005B6942"/>
    <w:rsid w:val="005C09C1"/>
    <w:rsid w:val="005C1A2B"/>
    <w:rsid w:val="005D1117"/>
    <w:rsid w:val="005E322E"/>
    <w:rsid w:val="005E3644"/>
    <w:rsid w:val="005E6EF2"/>
    <w:rsid w:val="005F25F6"/>
    <w:rsid w:val="005F64A0"/>
    <w:rsid w:val="00615224"/>
    <w:rsid w:val="00615B15"/>
    <w:rsid w:val="0062285B"/>
    <w:rsid w:val="006238FE"/>
    <w:rsid w:val="006242A1"/>
    <w:rsid w:val="00624B01"/>
    <w:rsid w:val="00633A1A"/>
    <w:rsid w:val="0064178E"/>
    <w:rsid w:val="006472A4"/>
    <w:rsid w:val="00651F30"/>
    <w:rsid w:val="006538D9"/>
    <w:rsid w:val="006545E0"/>
    <w:rsid w:val="00657516"/>
    <w:rsid w:val="006604AD"/>
    <w:rsid w:val="006628C1"/>
    <w:rsid w:val="00663946"/>
    <w:rsid w:val="006641A6"/>
    <w:rsid w:val="00667F0D"/>
    <w:rsid w:val="00671B39"/>
    <w:rsid w:val="00682418"/>
    <w:rsid w:val="00682FD7"/>
    <w:rsid w:val="006848D9"/>
    <w:rsid w:val="00691B8C"/>
    <w:rsid w:val="006926CB"/>
    <w:rsid w:val="006933F3"/>
    <w:rsid w:val="00694782"/>
    <w:rsid w:val="00696110"/>
    <w:rsid w:val="006977C3"/>
    <w:rsid w:val="006A012D"/>
    <w:rsid w:val="006A1974"/>
    <w:rsid w:val="006A22BA"/>
    <w:rsid w:val="006A38AE"/>
    <w:rsid w:val="006A3A29"/>
    <w:rsid w:val="006B1247"/>
    <w:rsid w:val="006B208A"/>
    <w:rsid w:val="006C3891"/>
    <w:rsid w:val="006C4DFA"/>
    <w:rsid w:val="006C6E9C"/>
    <w:rsid w:val="006C731F"/>
    <w:rsid w:val="006D2D01"/>
    <w:rsid w:val="006D5BC5"/>
    <w:rsid w:val="006E2FAC"/>
    <w:rsid w:val="006E5E92"/>
    <w:rsid w:val="006F0500"/>
    <w:rsid w:val="007110F0"/>
    <w:rsid w:val="0071399E"/>
    <w:rsid w:val="00713FEB"/>
    <w:rsid w:val="007173A7"/>
    <w:rsid w:val="007228EC"/>
    <w:rsid w:val="00723342"/>
    <w:rsid w:val="00724413"/>
    <w:rsid w:val="00724693"/>
    <w:rsid w:val="00725F83"/>
    <w:rsid w:val="00726385"/>
    <w:rsid w:val="00732B75"/>
    <w:rsid w:val="007341BE"/>
    <w:rsid w:val="00735BE0"/>
    <w:rsid w:val="00741B21"/>
    <w:rsid w:val="00752A66"/>
    <w:rsid w:val="00752E65"/>
    <w:rsid w:val="00761D92"/>
    <w:rsid w:val="0076683D"/>
    <w:rsid w:val="007735FE"/>
    <w:rsid w:val="00777C88"/>
    <w:rsid w:val="00780048"/>
    <w:rsid w:val="007816DD"/>
    <w:rsid w:val="0078298F"/>
    <w:rsid w:val="00782B65"/>
    <w:rsid w:val="00784DB2"/>
    <w:rsid w:val="007914DC"/>
    <w:rsid w:val="00791A41"/>
    <w:rsid w:val="00794721"/>
    <w:rsid w:val="00794BBA"/>
    <w:rsid w:val="00794C9B"/>
    <w:rsid w:val="0079534D"/>
    <w:rsid w:val="0079587E"/>
    <w:rsid w:val="00797CC2"/>
    <w:rsid w:val="007A1BE6"/>
    <w:rsid w:val="007A2B6B"/>
    <w:rsid w:val="007A4BCC"/>
    <w:rsid w:val="007A59A5"/>
    <w:rsid w:val="007B1A98"/>
    <w:rsid w:val="007B1ABC"/>
    <w:rsid w:val="007B5006"/>
    <w:rsid w:val="007C1263"/>
    <w:rsid w:val="007C2545"/>
    <w:rsid w:val="007C2717"/>
    <w:rsid w:val="007C463A"/>
    <w:rsid w:val="007D5174"/>
    <w:rsid w:val="007D7AD6"/>
    <w:rsid w:val="007D7EBB"/>
    <w:rsid w:val="007E0EEB"/>
    <w:rsid w:val="007E248C"/>
    <w:rsid w:val="007E75B9"/>
    <w:rsid w:val="007F4B11"/>
    <w:rsid w:val="007F5BEC"/>
    <w:rsid w:val="007F63BC"/>
    <w:rsid w:val="00803618"/>
    <w:rsid w:val="0080527E"/>
    <w:rsid w:val="008074AE"/>
    <w:rsid w:val="00814260"/>
    <w:rsid w:val="00814484"/>
    <w:rsid w:val="0081740D"/>
    <w:rsid w:val="0082097A"/>
    <w:rsid w:val="0082656A"/>
    <w:rsid w:val="00832AE4"/>
    <w:rsid w:val="00833E83"/>
    <w:rsid w:val="00834B77"/>
    <w:rsid w:val="00835BE9"/>
    <w:rsid w:val="00836057"/>
    <w:rsid w:val="008370D7"/>
    <w:rsid w:val="00840F44"/>
    <w:rsid w:val="00841422"/>
    <w:rsid w:val="00841852"/>
    <w:rsid w:val="008434D2"/>
    <w:rsid w:val="00845210"/>
    <w:rsid w:val="00845A89"/>
    <w:rsid w:val="0084615F"/>
    <w:rsid w:val="00846BD1"/>
    <w:rsid w:val="008560F8"/>
    <w:rsid w:val="00860C67"/>
    <w:rsid w:val="00863120"/>
    <w:rsid w:val="008642F2"/>
    <w:rsid w:val="008647C9"/>
    <w:rsid w:val="0086512D"/>
    <w:rsid w:val="008663DB"/>
    <w:rsid w:val="00867A84"/>
    <w:rsid w:val="008773F3"/>
    <w:rsid w:val="00882013"/>
    <w:rsid w:val="00882843"/>
    <w:rsid w:val="0088370B"/>
    <w:rsid w:val="00884F56"/>
    <w:rsid w:val="00886412"/>
    <w:rsid w:val="00886EEC"/>
    <w:rsid w:val="008900FE"/>
    <w:rsid w:val="0089028D"/>
    <w:rsid w:val="008936A8"/>
    <w:rsid w:val="0089407A"/>
    <w:rsid w:val="008A3B53"/>
    <w:rsid w:val="008A6EB5"/>
    <w:rsid w:val="008A786A"/>
    <w:rsid w:val="008B2552"/>
    <w:rsid w:val="008B320D"/>
    <w:rsid w:val="008B3580"/>
    <w:rsid w:val="008B4D28"/>
    <w:rsid w:val="008B6673"/>
    <w:rsid w:val="008C0B64"/>
    <w:rsid w:val="008C22DD"/>
    <w:rsid w:val="008C29B3"/>
    <w:rsid w:val="008C69A9"/>
    <w:rsid w:val="008C6C97"/>
    <w:rsid w:val="008C7FA5"/>
    <w:rsid w:val="008D21DB"/>
    <w:rsid w:val="008D3B11"/>
    <w:rsid w:val="008D5837"/>
    <w:rsid w:val="008D76C0"/>
    <w:rsid w:val="008E27DE"/>
    <w:rsid w:val="008F2E0E"/>
    <w:rsid w:val="008F2F45"/>
    <w:rsid w:val="008F3B68"/>
    <w:rsid w:val="00900E38"/>
    <w:rsid w:val="009012BC"/>
    <w:rsid w:val="0090138B"/>
    <w:rsid w:val="0091073D"/>
    <w:rsid w:val="009107BF"/>
    <w:rsid w:val="00910CB6"/>
    <w:rsid w:val="00912AA2"/>
    <w:rsid w:val="00912B5F"/>
    <w:rsid w:val="00914E6E"/>
    <w:rsid w:val="00916336"/>
    <w:rsid w:val="009205B6"/>
    <w:rsid w:val="00924632"/>
    <w:rsid w:val="00924D81"/>
    <w:rsid w:val="00925E24"/>
    <w:rsid w:val="009360AB"/>
    <w:rsid w:val="00936C41"/>
    <w:rsid w:val="00943BA9"/>
    <w:rsid w:val="00943DAE"/>
    <w:rsid w:val="0094546E"/>
    <w:rsid w:val="0094795A"/>
    <w:rsid w:val="00954340"/>
    <w:rsid w:val="009564F7"/>
    <w:rsid w:val="00956FA0"/>
    <w:rsid w:val="0096244D"/>
    <w:rsid w:val="00970B98"/>
    <w:rsid w:val="00972928"/>
    <w:rsid w:val="009765B4"/>
    <w:rsid w:val="009834A6"/>
    <w:rsid w:val="0098739C"/>
    <w:rsid w:val="009952DD"/>
    <w:rsid w:val="009A2874"/>
    <w:rsid w:val="009A6D3B"/>
    <w:rsid w:val="009A6F86"/>
    <w:rsid w:val="009B1D7C"/>
    <w:rsid w:val="009B1E56"/>
    <w:rsid w:val="009B5DCE"/>
    <w:rsid w:val="009C022E"/>
    <w:rsid w:val="009C3F6B"/>
    <w:rsid w:val="009C46E7"/>
    <w:rsid w:val="009C4CD7"/>
    <w:rsid w:val="009C773A"/>
    <w:rsid w:val="009C7FBC"/>
    <w:rsid w:val="009D1E0F"/>
    <w:rsid w:val="009D48BF"/>
    <w:rsid w:val="009F05A5"/>
    <w:rsid w:val="009F11AF"/>
    <w:rsid w:val="009F5156"/>
    <w:rsid w:val="009F5AD1"/>
    <w:rsid w:val="009F7B69"/>
    <w:rsid w:val="00A025BC"/>
    <w:rsid w:val="00A10BE4"/>
    <w:rsid w:val="00A1229B"/>
    <w:rsid w:val="00A12BA2"/>
    <w:rsid w:val="00A13754"/>
    <w:rsid w:val="00A15397"/>
    <w:rsid w:val="00A2204D"/>
    <w:rsid w:val="00A2328D"/>
    <w:rsid w:val="00A25F81"/>
    <w:rsid w:val="00A31EEE"/>
    <w:rsid w:val="00A33805"/>
    <w:rsid w:val="00A34C42"/>
    <w:rsid w:val="00A35A6B"/>
    <w:rsid w:val="00A363C9"/>
    <w:rsid w:val="00A3712D"/>
    <w:rsid w:val="00A41247"/>
    <w:rsid w:val="00A47D52"/>
    <w:rsid w:val="00A50A06"/>
    <w:rsid w:val="00A51C8F"/>
    <w:rsid w:val="00A52366"/>
    <w:rsid w:val="00A613B7"/>
    <w:rsid w:val="00A62F3A"/>
    <w:rsid w:val="00A64C3E"/>
    <w:rsid w:val="00A66420"/>
    <w:rsid w:val="00A705C9"/>
    <w:rsid w:val="00A772F6"/>
    <w:rsid w:val="00A80652"/>
    <w:rsid w:val="00A83EE7"/>
    <w:rsid w:val="00A8402B"/>
    <w:rsid w:val="00A87D2A"/>
    <w:rsid w:val="00A90012"/>
    <w:rsid w:val="00A9059F"/>
    <w:rsid w:val="00A91317"/>
    <w:rsid w:val="00A95F4F"/>
    <w:rsid w:val="00AA420D"/>
    <w:rsid w:val="00AA4F37"/>
    <w:rsid w:val="00AA65D7"/>
    <w:rsid w:val="00AA7466"/>
    <w:rsid w:val="00AB09C2"/>
    <w:rsid w:val="00AB235A"/>
    <w:rsid w:val="00AB38F2"/>
    <w:rsid w:val="00AB4059"/>
    <w:rsid w:val="00AB5CC8"/>
    <w:rsid w:val="00AB5DC7"/>
    <w:rsid w:val="00AB6885"/>
    <w:rsid w:val="00AC0481"/>
    <w:rsid w:val="00AD0EB8"/>
    <w:rsid w:val="00AD42C2"/>
    <w:rsid w:val="00AD479A"/>
    <w:rsid w:val="00AD539A"/>
    <w:rsid w:val="00AD66A8"/>
    <w:rsid w:val="00AE1CBB"/>
    <w:rsid w:val="00AE2586"/>
    <w:rsid w:val="00AE2E88"/>
    <w:rsid w:val="00AE2F58"/>
    <w:rsid w:val="00AE4B4D"/>
    <w:rsid w:val="00AE55C8"/>
    <w:rsid w:val="00AE7126"/>
    <w:rsid w:val="00AE79AD"/>
    <w:rsid w:val="00B0491F"/>
    <w:rsid w:val="00B04DA8"/>
    <w:rsid w:val="00B0509E"/>
    <w:rsid w:val="00B05D5D"/>
    <w:rsid w:val="00B07002"/>
    <w:rsid w:val="00B078A6"/>
    <w:rsid w:val="00B11039"/>
    <w:rsid w:val="00B130BF"/>
    <w:rsid w:val="00B13E0D"/>
    <w:rsid w:val="00B16CD6"/>
    <w:rsid w:val="00B175FF"/>
    <w:rsid w:val="00B21FD1"/>
    <w:rsid w:val="00B23701"/>
    <w:rsid w:val="00B2516E"/>
    <w:rsid w:val="00B263BE"/>
    <w:rsid w:val="00B32617"/>
    <w:rsid w:val="00B34D1F"/>
    <w:rsid w:val="00B40A32"/>
    <w:rsid w:val="00B41CBD"/>
    <w:rsid w:val="00B455F6"/>
    <w:rsid w:val="00B4609D"/>
    <w:rsid w:val="00B46C89"/>
    <w:rsid w:val="00B542F7"/>
    <w:rsid w:val="00B56D54"/>
    <w:rsid w:val="00B60489"/>
    <w:rsid w:val="00B6691E"/>
    <w:rsid w:val="00B6714D"/>
    <w:rsid w:val="00B73786"/>
    <w:rsid w:val="00B74E10"/>
    <w:rsid w:val="00B76455"/>
    <w:rsid w:val="00B76F5A"/>
    <w:rsid w:val="00B8224D"/>
    <w:rsid w:val="00B848C6"/>
    <w:rsid w:val="00B905FB"/>
    <w:rsid w:val="00B91100"/>
    <w:rsid w:val="00B91860"/>
    <w:rsid w:val="00B920CD"/>
    <w:rsid w:val="00B9338E"/>
    <w:rsid w:val="00BA034C"/>
    <w:rsid w:val="00BA1726"/>
    <w:rsid w:val="00BA3560"/>
    <w:rsid w:val="00BB093D"/>
    <w:rsid w:val="00BB4B1C"/>
    <w:rsid w:val="00BB54D1"/>
    <w:rsid w:val="00BC0111"/>
    <w:rsid w:val="00BC0932"/>
    <w:rsid w:val="00BC7898"/>
    <w:rsid w:val="00BD1A4B"/>
    <w:rsid w:val="00BD42A1"/>
    <w:rsid w:val="00BD437B"/>
    <w:rsid w:val="00BD655D"/>
    <w:rsid w:val="00BE0043"/>
    <w:rsid w:val="00BE1890"/>
    <w:rsid w:val="00BE1EB9"/>
    <w:rsid w:val="00BE43A6"/>
    <w:rsid w:val="00BF273C"/>
    <w:rsid w:val="00BF4B67"/>
    <w:rsid w:val="00BF6770"/>
    <w:rsid w:val="00BF7959"/>
    <w:rsid w:val="00C021D6"/>
    <w:rsid w:val="00C04A41"/>
    <w:rsid w:val="00C07F95"/>
    <w:rsid w:val="00C1191D"/>
    <w:rsid w:val="00C13EEE"/>
    <w:rsid w:val="00C172D6"/>
    <w:rsid w:val="00C23276"/>
    <w:rsid w:val="00C25BC5"/>
    <w:rsid w:val="00C26A06"/>
    <w:rsid w:val="00C26C54"/>
    <w:rsid w:val="00C3156C"/>
    <w:rsid w:val="00C31730"/>
    <w:rsid w:val="00C32E9D"/>
    <w:rsid w:val="00C334C2"/>
    <w:rsid w:val="00C33D73"/>
    <w:rsid w:val="00C340CB"/>
    <w:rsid w:val="00C406FE"/>
    <w:rsid w:val="00C47253"/>
    <w:rsid w:val="00C47EC8"/>
    <w:rsid w:val="00C517F6"/>
    <w:rsid w:val="00C613DC"/>
    <w:rsid w:val="00C63004"/>
    <w:rsid w:val="00C65BE6"/>
    <w:rsid w:val="00C7007B"/>
    <w:rsid w:val="00C70926"/>
    <w:rsid w:val="00C71595"/>
    <w:rsid w:val="00C7177D"/>
    <w:rsid w:val="00C72561"/>
    <w:rsid w:val="00C731F2"/>
    <w:rsid w:val="00C80846"/>
    <w:rsid w:val="00C81549"/>
    <w:rsid w:val="00C841CC"/>
    <w:rsid w:val="00C851B3"/>
    <w:rsid w:val="00C85AE2"/>
    <w:rsid w:val="00C8799E"/>
    <w:rsid w:val="00CA155E"/>
    <w:rsid w:val="00CA4A78"/>
    <w:rsid w:val="00CA5E72"/>
    <w:rsid w:val="00CA6B00"/>
    <w:rsid w:val="00CA705C"/>
    <w:rsid w:val="00CB0998"/>
    <w:rsid w:val="00CB0D2F"/>
    <w:rsid w:val="00CB1059"/>
    <w:rsid w:val="00CB2755"/>
    <w:rsid w:val="00CB7E3A"/>
    <w:rsid w:val="00CC17E0"/>
    <w:rsid w:val="00CC4248"/>
    <w:rsid w:val="00CC4532"/>
    <w:rsid w:val="00CC5F9C"/>
    <w:rsid w:val="00CC7F96"/>
    <w:rsid w:val="00CD3F57"/>
    <w:rsid w:val="00CD69B4"/>
    <w:rsid w:val="00CD6E3E"/>
    <w:rsid w:val="00CE1DB3"/>
    <w:rsid w:val="00CE586C"/>
    <w:rsid w:val="00CE652E"/>
    <w:rsid w:val="00CF00DB"/>
    <w:rsid w:val="00CF0980"/>
    <w:rsid w:val="00CF15F1"/>
    <w:rsid w:val="00CF1E7B"/>
    <w:rsid w:val="00CF27AC"/>
    <w:rsid w:val="00CF4CB1"/>
    <w:rsid w:val="00CF7FE5"/>
    <w:rsid w:val="00D07CFF"/>
    <w:rsid w:val="00D14FF4"/>
    <w:rsid w:val="00D172EA"/>
    <w:rsid w:val="00D20481"/>
    <w:rsid w:val="00D21ADA"/>
    <w:rsid w:val="00D223CF"/>
    <w:rsid w:val="00D303ED"/>
    <w:rsid w:val="00D35792"/>
    <w:rsid w:val="00D35A46"/>
    <w:rsid w:val="00D44A75"/>
    <w:rsid w:val="00D454F4"/>
    <w:rsid w:val="00D46279"/>
    <w:rsid w:val="00D47704"/>
    <w:rsid w:val="00D547B9"/>
    <w:rsid w:val="00D57AF0"/>
    <w:rsid w:val="00D64898"/>
    <w:rsid w:val="00D65954"/>
    <w:rsid w:val="00D70805"/>
    <w:rsid w:val="00D851CE"/>
    <w:rsid w:val="00D856AD"/>
    <w:rsid w:val="00D86561"/>
    <w:rsid w:val="00D86DA8"/>
    <w:rsid w:val="00D90E83"/>
    <w:rsid w:val="00D95A4E"/>
    <w:rsid w:val="00D96236"/>
    <w:rsid w:val="00D96278"/>
    <w:rsid w:val="00DA3633"/>
    <w:rsid w:val="00DA46D8"/>
    <w:rsid w:val="00DA7636"/>
    <w:rsid w:val="00DB0906"/>
    <w:rsid w:val="00DB20C8"/>
    <w:rsid w:val="00DB3F19"/>
    <w:rsid w:val="00DC3431"/>
    <w:rsid w:val="00DC53D6"/>
    <w:rsid w:val="00DD0EB2"/>
    <w:rsid w:val="00DD2FA4"/>
    <w:rsid w:val="00DE2EBD"/>
    <w:rsid w:val="00DF120E"/>
    <w:rsid w:val="00DF4012"/>
    <w:rsid w:val="00DF5767"/>
    <w:rsid w:val="00E00197"/>
    <w:rsid w:val="00E00CD3"/>
    <w:rsid w:val="00E03E00"/>
    <w:rsid w:val="00E10452"/>
    <w:rsid w:val="00E10A43"/>
    <w:rsid w:val="00E16A01"/>
    <w:rsid w:val="00E23532"/>
    <w:rsid w:val="00E24669"/>
    <w:rsid w:val="00E33457"/>
    <w:rsid w:val="00E3742C"/>
    <w:rsid w:val="00E40CFD"/>
    <w:rsid w:val="00E4410C"/>
    <w:rsid w:val="00E50AB5"/>
    <w:rsid w:val="00E50CCA"/>
    <w:rsid w:val="00E51ECA"/>
    <w:rsid w:val="00E61709"/>
    <w:rsid w:val="00E6335A"/>
    <w:rsid w:val="00E661DE"/>
    <w:rsid w:val="00E70307"/>
    <w:rsid w:val="00E7108B"/>
    <w:rsid w:val="00E73BE9"/>
    <w:rsid w:val="00E76141"/>
    <w:rsid w:val="00E8015F"/>
    <w:rsid w:val="00E853AE"/>
    <w:rsid w:val="00E85DD5"/>
    <w:rsid w:val="00E8778E"/>
    <w:rsid w:val="00E902B9"/>
    <w:rsid w:val="00E95668"/>
    <w:rsid w:val="00E97381"/>
    <w:rsid w:val="00E97C01"/>
    <w:rsid w:val="00EA2678"/>
    <w:rsid w:val="00EA3500"/>
    <w:rsid w:val="00EB0548"/>
    <w:rsid w:val="00EB2118"/>
    <w:rsid w:val="00EB25C1"/>
    <w:rsid w:val="00EB3C3B"/>
    <w:rsid w:val="00EB5C6C"/>
    <w:rsid w:val="00EB69F9"/>
    <w:rsid w:val="00EC0728"/>
    <w:rsid w:val="00EC0937"/>
    <w:rsid w:val="00ED188F"/>
    <w:rsid w:val="00ED1F87"/>
    <w:rsid w:val="00ED2DD7"/>
    <w:rsid w:val="00ED4B60"/>
    <w:rsid w:val="00ED4E06"/>
    <w:rsid w:val="00ED626A"/>
    <w:rsid w:val="00ED6EE0"/>
    <w:rsid w:val="00EE6143"/>
    <w:rsid w:val="00EF4903"/>
    <w:rsid w:val="00F007D9"/>
    <w:rsid w:val="00F10EDF"/>
    <w:rsid w:val="00F153DB"/>
    <w:rsid w:val="00F179FD"/>
    <w:rsid w:val="00F3571E"/>
    <w:rsid w:val="00F4252A"/>
    <w:rsid w:val="00F450F0"/>
    <w:rsid w:val="00F46BCE"/>
    <w:rsid w:val="00F53B2E"/>
    <w:rsid w:val="00F567D6"/>
    <w:rsid w:val="00F57B33"/>
    <w:rsid w:val="00F57E13"/>
    <w:rsid w:val="00F60110"/>
    <w:rsid w:val="00F607D7"/>
    <w:rsid w:val="00F63BA1"/>
    <w:rsid w:val="00F65805"/>
    <w:rsid w:val="00F668B1"/>
    <w:rsid w:val="00F7078B"/>
    <w:rsid w:val="00F82A15"/>
    <w:rsid w:val="00F85661"/>
    <w:rsid w:val="00F90236"/>
    <w:rsid w:val="00F93AB1"/>
    <w:rsid w:val="00F96F48"/>
    <w:rsid w:val="00FA634E"/>
    <w:rsid w:val="00FA77E7"/>
    <w:rsid w:val="00FB0847"/>
    <w:rsid w:val="00FB147B"/>
    <w:rsid w:val="00FB3EC3"/>
    <w:rsid w:val="00FB3F39"/>
    <w:rsid w:val="00FB4555"/>
    <w:rsid w:val="00FB7433"/>
    <w:rsid w:val="00FC4BD2"/>
    <w:rsid w:val="00FC66CB"/>
    <w:rsid w:val="00FC6948"/>
    <w:rsid w:val="00FD092E"/>
    <w:rsid w:val="00FD4DDC"/>
    <w:rsid w:val="00FD790E"/>
    <w:rsid w:val="00FE0691"/>
    <w:rsid w:val="00FE4E78"/>
    <w:rsid w:val="00FE5911"/>
    <w:rsid w:val="00FE5A41"/>
    <w:rsid w:val="00FE6A5D"/>
    <w:rsid w:val="00FE781A"/>
    <w:rsid w:val="00FF51E4"/>
    <w:rsid w:val="02623074"/>
    <w:rsid w:val="02C53F55"/>
    <w:rsid w:val="03633C60"/>
    <w:rsid w:val="064E2A3A"/>
    <w:rsid w:val="0E0C21BD"/>
    <w:rsid w:val="21B24FD9"/>
    <w:rsid w:val="2B0C39C8"/>
    <w:rsid w:val="2FF92B7C"/>
    <w:rsid w:val="36F374C8"/>
    <w:rsid w:val="390F5488"/>
    <w:rsid w:val="432F1E46"/>
    <w:rsid w:val="44D202F8"/>
    <w:rsid w:val="472408CB"/>
    <w:rsid w:val="60F26B9A"/>
    <w:rsid w:val="648F3736"/>
    <w:rsid w:val="64B57D5D"/>
    <w:rsid w:val="6B7105A6"/>
    <w:rsid w:val="6E8509C5"/>
    <w:rsid w:val="6EDA7328"/>
    <w:rsid w:val="76E163A5"/>
    <w:rsid w:val="78E87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next w:val="1"/>
    <w:unhideWhenUsed/>
    <w:qFormat/>
    <w:uiPriority w:val="9"/>
    <w:pPr>
      <w:numPr>
        <w:ilvl w:val="3"/>
        <w:numId w:val="1"/>
      </w:numPr>
      <w:tabs>
        <w:tab w:val="left" w:pos="0"/>
      </w:tabs>
      <w:spacing w:line="560" w:lineRule="exact"/>
      <w:jc w:val="both"/>
      <w:outlineLvl w:val="2"/>
    </w:pPr>
    <w:rPr>
      <w:rFonts w:ascii="Times New Roman" w:hAnsi="Times New Roman" w:eastAsia="仿宋_GB2312" w:cs="Times New Roman"/>
      <w:sz w:val="32"/>
      <w:szCs w:val="24"/>
      <w:lang w:val="zh-TW" w:eastAsia="zh-TW"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22"/>
    <w:qFormat/>
    <w:uiPriority w:val="10"/>
    <w:pPr>
      <w:spacing w:before="240" w:after="60"/>
      <w:jc w:val="center"/>
      <w:outlineLvl w:val="0"/>
    </w:pPr>
    <w:rPr>
      <w:rFonts w:asciiTheme="majorHAnsi" w:hAnsiTheme="majorHAnsi" w:cstheme="majorBidi"/>
      <w:b/>
      <w:bCs/>
      <w:sz w:val="32"/>
      <w:szCs w:val="32"/>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paragraph" w:customStyle="1" w:styleId="14">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
    <w:name w:val="彩色列表 - 着色 11"/>
    <w:basedOn w:val="1"/>
    <w:qFormat/>
    <w:uiPriority w:val="34"/>
    <w:pPr>
      <w:spacing w:line="440" w:lineRule="exact"/>
      <w:ind w:firstLine="420" w:firstLineChars="200"/>
    </w:pPr>
    <w:rPr>
      <w:rFonts w:ascii="Arial" w:hAnsi="Arial"/>
      <w:szCs w:val="24"/>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qFormat/>
    <w:uiPriority w:val="99"/>
    <w:rPr>
      <w:rFonts w:ascii="Calibri" w:hAnsi="Calibri" w:eastAsia="宋体" w:cs="Times New Roman"/>
    </w:rPr>
  </w:style>
  <w:style w:type="character" w:customStyle="1" w:styleId="20">
    <w:name w:val="批注主题 字符"/>
    <w:basedOn w:val="19"/>
    <w:link w:val="8"/>
    <w:semiHidden/>
    <w:qFormat/>
    <w:uiPriority w:val="99"/>
    <w:rPr>
      <w:rFonts w:ascii="Calibri" w:hAnsi="Calibri" w:eastAsia="宋体" w:cs="Times New Roman"/>
      <w:b/>
      <w:bCs/>
    </w:rPr>
  </w:style>
  <w:style w:type="paragraph" w:styleId="21">
    <w:name w:val="List Paragraph"/>
    <w:basedOn w:val="1"/>
    <w:qFormat/>
    <w:uiPriority w:val="34"/>
    <w:pPr>
      <w:ind w:firstLine="420" w:firstLineChars="200"/>
    </w:pPr>
  </w:style>
  <w:style w:type="character" w:customStyle="1" w:styleId="22">
    <w:name w:val="标题 字符"/>
    <w:basedOn w:val="11"/>
    <w:link w:val="7"/>
    <w:qFormat/>
    <w:uiPriority w:val="10"/>
    <w:rPr>
      <w:rFonts w:eastAsia="宋体" w:asciiTheme="majorHAnsi" w:hAnsiTheme="majorHAnsi" w:cstheme="majorBidi"/>
      <w:b/>
      <w:bCs/>
      <w:sz w:val="32"/>
      <w:szCs w:val="3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未处理的提及1"/>
    <w:basedOn w:val="11"/>
    <w:semiHidden/>
    <w:unhideWhenUsed/>
    <w:qFormat/>
    <w:uiPriority w:val="99"/>
    <w:rPr>
      <w:color w:val="605E5C"/>
      <w:shd w:val="clear" w:color="auto" w:fill="E1DFDD"/>
    </w:rPr>
  </w:style>
  <w:style w:type="paragraph" w:customStyle="1" w:styleId="25">
    <w:name w:val="修订2"/>
    <w:hidden/>
    <w:unhideWhenUsed/>
    <w:qFormat/>
    <w:uiPriority w:val="99"/>
    <w:rPr>
      <w:rFonts w:ascii="Calibri" w:hAnsi="Calibri" w:eastAsia="宋体" w:cs="Times New Roman"/>
      <w:kern w:val="2"/>
      <w:sz w:val="21"/>
      <w:szCs w:val="22"/>
      <w:lang w:val="en-US" w:eastAsia="zh-CN" w:bidi="ar-SA"/>
    </w:rPr>
  </w:style>
  <w:style w:type="paragraph" w:customStyle="1" w:styleId="26">
    <w:name w:val="修订3"/>
    <w:hidden/>
    <w:unhideWhenUsed/>
    <w:qFormat/>
    <w:uiPriority w:val="99"/>
    <w:rPr>
      <w:rFonts w:ascii="Calibri" w:hAnsi="Calibri" w:eastAsia="宋体" w:cs="Times New Roman"/>
      <w:kern w:val="2"/>
      <w:sz w:val="21"/>
      <w:szCs w:val="22"/>
      <w:lang w:val="en-US" w:eastAsia="zh-CN" w:bidi="ar-SA"/>
    </w:rPr>
  </w:style>
  <w:style w:type="paragraph" w:customStyle="1" w:styleId="2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7187C-C063-4056-A5A7-996E96DEDC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16003</Words>
  <Characters>16322</Characters>
  <Lines>119</Lines>
  <Paragraphs>33</Paragraphs>
  <TotalTime>2</TotalTime>
  <ScaleCrop>false</ScaleCrop>
  <LinksUpToDate>false</LinksUpToDate>
  <CharactersWithSpaces>16342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2026-03-10T07:53:00Z</dcterms:created>
  <dc:creator>任俊学</dc:creator>
  <cp:lastModifiedBy>张俊峰</cp:lastModifiedBy>
  <cp:lastPrinted>2018-03-08T10:45:00Z</cp:lastPrinted>
  <dcterms:modified xsi:type="dcterms:W3CDTF">2026-04-14T02:27:55Z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D86C4FCCBAD34382A52AF9E763181988_13</vt:lpwstr>
  </property>
  <property fmtid="{D5CDD505-2E9C-101B-9397-08002B2CF9AE}" pid="4" name="KSOTemplateDocerSaveRecord">
    <vt:lpwstr>eyJoZGlkIjoiZDNlOTg2NDZhMWVmZmVhZjFlMzM5YmRkODQ3ODdjNGQiLCJ1c2VySWQiOiIxNzQ5MjkyNDYwIn0=</vt:lpwstr>
  </property>
</Properties>
</file>